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6D1F0B2"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554A64">
            <w:rPr>
              <w:rStyle w:val="Char6"/>
            </w:rPr>
            <w:t xml:space="preserve">Δημήτρης Λογαράς </w:t>
          </w:r>
        </w:sdtContent>
      </w:sdt>
    </w:p>
    <w:p w14:paraId="21E06487" w14:textId="5FAAB387"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1-13T00:00:00Z">
                    <w:dateFormat w:val="dd.MM.yyyy"/>
                    <w:lid w:val="el-GR"/>
                    <w:storeMappedDataAs w:val="dateTime"/>
                    <w:calendar w:val="gregorian"/>
                  </w:date>
                </w:sdtPr>
                <w:sdtEndPr>
                  <w:rPr>
                    <w:rStyle w:val="a1"/>
                  </w:rPr>
                </w:sdtEndPr>
                <w:sdtContent>
                  <w:r w:rsidR="00315B0D">
                    <w:rPr>
                      <w:rStyle w:val="Char6"/>
                    </w:rPr>
                    <w:t>13.01.2023</w:t>
                  </w:r>
                </w:sdtContent>
              </w:sdt>
            </w:sdtContent>
          </w:sdt>
        </w:sdtContent>
      </w:sdt>
    </w:p>
    <w:p w14:paraId="387D4CEF" w14:textId="35E66E61"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315B0D">
            <w:rPr>
              <w:rStyle w:val="Char6"/>
            </w:rPr>
            <w:t>36</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72BB1D24"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554A64">
                        <w:t xml:space="preserve">κ. </w:t>
                      </w:r>
                      <w:r w:rsidR="009A4C92">
                        <w:t>Γ. Κώ</w:t>
                      </w:r>
                      <w:r w:rsidR="005C27A8">
                        <w:t>τσ</w:t>
                      </w:r>
                      <w:r w:rsidR="009A4C92">
                        <w:t>ηρα, Υ</w:t>
                      </w:r>
                      <w:r w:rsidR="000D6A07">
                        <w:t>φυ</w:t>
                      </w:r>
                      <w:r w:rsidR="009A4C92">
                        <w:t xml:space="preserve">πουργό Δικαιοσύνης  </w:t>
                      </w:r>
                    </w:sdtContent>
                  </w:sdt>
                </w:p>
              </w:sdtContent>
            </w:sdt>
          </w:sdtContent>
        </w:sdt>
      </w:sdtContent>
    </w:sdt>
    <w:p w14:paraId="31E1A41E" w14:textId="77777777" w:rsidR="00554A64" w:rsidRDefault="00554A64" w:rsidP="0083359D">
      <w:pPr>
        <w:tabs>
          <w:tab w:val="left" w:pos="993"/>
        </w:tabs>
        <w:spacing w:after="480"/>
        <w:ind w:left="992" w:hanging="992"/>
        <w:rPr>
          <w:rStyle w:val="ab"/>
        </w:rPr>
      </w:pPr>
    </w:p>
    <w:p w14:paraId="48D01092" w14:textId="0994F0AC"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6B2DAC6"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ED00C0">
                    <w:t>Η Ε.Σ.Α.μεΑ. αιτείται τη</w:t>
                  </w:r>
                  <w:r w:rsidR="004A4633">
                    <w:t xml:space="preserve">ν </w:t>
                  </w:r>
                  <w:r w:rsidR="00ED00C0">
                    <w:t>ε</w:t>
                  </w:r>
                  <w:r w:rsidR="002B7F19">
                    <w:t xml:space="preserve">πέκταση </w:t>
                  </w:r>
                  <w:r w:rsidR="00ED00C0">
                    <w:t xml:space="preserve"> της αρχής της μη διάκρισης λόγω αναπηρίας ή χρόνι</w:t>
                  </w:r>
                  <w:r w:rsidR="00B908C8">
                    <w:t>α</w:t>
                  </w:r>
                  <w:r w:rsidR="00ED00C0">
                    <w:t xml:space="preserve">ς πάθησης </w:t>
                  </w:r>
                  <w:r w:rsidR="009B0D07">
                    <w:t xml:space="preserve">σε όλους τους τομείς </w:t>
                  </w:r>
                  <w:r w:rsidR="00433BF0">
                    <w:t xml:space="preserve">της </w:t>
                  </w:r>
                  <w:r w:rsidR="009B0D07">
                    <w:t>ζωής</w:t>
                  </w:r>
                  <w:r w:rsidR="004A4633">
                    <w:t xml:space="preserve"> μέσω της θέσπισης σχετικής νομοθεσίας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5EF420AD" w14:textId="06B8789D" w:rsidR="00F21037" w:rsidRPr="000D6A07" w:rsidRDefault="00C55AF8" w:rsidP="002B7F19">
              <w:pPr>
                <w:rPr>
                  <w:b/>
                  <w:bCs/>
                </w:rPr>
              </w:pPr>
              <w:r w:rsidRPr="000D6A07">
                <w:rPr>
                  <w:b/>
                  <w:bCs/>
                </w:rPr>
                <w:t xml:space="preserve">Κύριε </w:t>
              </w:r>
              <w:r w:rsidR="00F21037" w:rsidRPr="000D6A07">
                <w:rPr>
                  <w:b/>
                  <w:bCs/>
                </w:rPr>
                <w:t>Υ</w:t>
              </w:r>
              <w:r w:rsidR="000D6A07" w:rsidRPr="000D6A07">
                <w:rPr>
                  <w:b/>
                  <w:bCs/>
                </w:rPr>
                <w:t>φυ</w:t>
              </w:r>
              <w:r w:rsidR="00F21037" w:rsidRPr="000D6A07">
                <w:rPr>
                  <w:b/>
                  <w:bCs/>
                </w:rPr>
                <w:t xml:space="preserve">πουργέ, </w:t>
              </w:r>
            </w:p>
            <w:p w14:paraId="67A61F16" w14:textId="28A4E877" w:rsidR="000E11E1" w:rsidRPr="002644FD" w:rsidRDefault="00F21037" w:rsidP="003F4351">
              <w:pPr>
                <w:spacing w:line="240" w:lineRule="auto"/>
                <w:rPr>
                  <w:b/>
                  <w:bCs/>
                </w:rPr>
              </w:pPr>
              <w:r>
                <w:t>Η Εθνική Συνομοσπονδία Ατόμων με Αναπηρία</w:t>
              </w:r>
              <w:r w:rsidR="000165C5">
                <w:t xml:space="preserve"> -</w:t>
              </w:r>
              <w:r>
                <w:t>η οποία</w:t>
              </w:r>
              <w:r w:rsidR="000165C5">
                <w:t xml:space="preserve">, όπως άλλωστε γνωρίζετε, </w:t>
              </w:r>
              <w:r>
                <w:t xml:space="preserve"> αποτελεί την τριτοβάθμια κοινωνική και συνδικαλιστική οργάνωση εκπροσώπησης των ατόμων με αναπηρία, χρόνιες παθήσεις και των οικογενειών τους στη χώρα,  κοινωνικό εταίρο της ελληνικής Πολιτείας σε ζητήματα αναπηρίας και ιδρυτικό μέλος του Ευρωπαϊκού Φόρουμ Ατόμων με Αναπηρία, </w:t>
              </w:r>
              <w:r w:rsidR="000165C5">
                <w:t xml:space="preserve">ήτοι του μεγαλύτερου </w:t>
              </w:r>
              <w:r>
                <w:t>φορέα εκπροσώπησης των ατόμων με αναπηρία  και των οικογενειών τους στη Ευρωπαϊκή Ένωση</w:t>
              </w:r>
              <w:r w:rsidR="000165C5">
                <w:t xml:space="preserve">- </w:t>
              </w:r>
              <w:r w:rsidR="00013F15">
                <w:rPr>
                  <w:b/>
                  <w:bCs/>
                </w:rPr>
                <w:t xml:space="preserve">ενόψει της συνάντησής </w:t>
              </w:r>
              <w:r w:rsidR="004A4633">
                <w:rPr>
                  <w:b/>
                  <w:bCs/>
                </w:rPr>
                <w:t xml:space="preserve">μας </w:t>
              </w:r>
              <w:r w:rsidR="00465AB4">
                <w:rPr>
                  <w:b/>
                  <w:bCs/>
                </w:rPr>
                <w:t xml:space="preserve">μαζί σας </w:t>
              </w:r>
              <w:r w:rsidR="00926DCC">
                <w:rPr>
                  <w:b/>
                  <w:bCs/>
                </w:rPr>
                <w:t>στις 12.</w:t>
              </w:r>
              <w:r w:rsidR="004A4633">
                <w:rPr>
                  <w:b/>
                  <w:bCs/>
                </w:rPr>
                <w:t>0</w:t>
              </w:r>
              <w:r w:rsidR="00926DCC">
                <w:rPr>
                  <w:b/>
                  <w:bCs/>
                </w:rPr>
                <w:t>1.2022</w:t>
              </w:r>
              <w:r w:rsidR="004A4633">
                <w:rPr>
                  <w:b/>
                  <w:bCs/>
                </w:rPr>
                <w:t>,</w:t>
              </w:r>
              <w:r w:rsidR="00926DCC">
                <w:rPr>
                  <w:b/>
                  <w:bCs/>
                </w:rPr>
                <w:t xml:space="preserve"> </w:t>
              </w:r>
              <w:r w:rsidR="00013F15">
                <w:rPr>
                  <w:b/>
                  <w:bCs/>
                </w:rPr>
                <w:t xml:space="preserve">επανέρχεται με το παρόν στο </w:t>
              </w:r>
              <w:r w:rsidRPr="0090429C">
                <w:rPr>
                  <w:b/>
                  <w:bCs/>
                </w:rPr>
                <w:t>πάγιο αίτημά τη</w:t>
              </w:r>
              <w:r w:rsidR="000165C5" w:rsidRPr="0090429C">
                <w:rPr>
                  <w:b/>
                  <w:bCs/>
                </w:rPr>
                <w:t xml:space="preserve">ς </w:t>
              </w:r>
              <w:r w:rsidR="001F40E6" w:rsidRPr="0090429C">
                <w:rPr>
                  <w:b/>
                  <w:bCs/>
                </w:rPr>
                <w:t xml:space="preserve">για </w:t>
              </w:r>
              <w:r w:rsidR="000165C5" w:rsidRPr="0090429C">
                <w:rPr>
                  <w:b/>
                  <w:bCs/>
                </w:rPr>
                <w:t xml:space="preserve">επέκταση </w:t>
              </w:r>
              <w:r w:rsidR="00174D09" w:rsidRPr="0090429C">
                <w:rPr>
                  <w:b/>
                  <w:bCs/>
                </w:rPr>
                <w:t xml:space="preserve">της αρχής της μη διάκρισης λόγω αναπηρίας ή χρόνιας πάθησης σε όλους τους τομείς </w:t>
              </w:r>
              <w:r w:rsidR="00433BF0">
                <w:rPr>
                  <w:b/>
                  <w:bCs/>
                </w:rPr>
                <w:t xml:space="preserve">της </w:t>
              </w:r>
              <w:r w:rsidR="00174D09" w:rsidRPr="0090429C">
                <w:rPr>
                  <w:b/>
                  <w:bCs/>
                </w:rPr>
                <w:t>ζωής</w:t>
              </w:r>
              <w:r w:rsidR="00013F15">
                <w:rPr>
                  <w:b/>
                  <w:bCs/>
                </w:rPr>
                <w:t xml:space="preserve"> (δηλαδή </w:t>
              </w:r>
              <w:r w:rsidR="00174D09" w:rsidRPr="0090429C">
                <w:rPr>
                  <w:b/>
                  <w:bCs/>
                </w:rPr>
                <w:t>και πέραν του τομέα της εργασίας/απασχόλησης</w:t>
              </w:r>
              <w:r w:rsidR="00013F15">
                <w:rPr>
                  <w:b/>
                  <w:bCs/>
                </w:rPr>
                <w:t>)</w:t>
              </w:r>
              <w:r w:rsidR="002A68CD">
                <w:rPr>
                  <w:b/>
                  <w:bCs/>
                </w:rPr>
                <w:t>,</w:t>
              </w:r>
              <w:r w:rsidR="002644FD">
                <w:t xml:space="preserve"> </w:t>
              </w:r>
              <w:r w:rsidR="002644FD" w:rsidRPr="002644FD">
                <w:rPr>
                  <w:b/>
                  <w:bCs/>
                </w:rPr>
                <w:t xml:space="preserve">μέσω της θέσπισης σχετικής νομοθετικής ρύθμισης. </w:t>
              </w:r>
            </w:p>
            <w:p w14:paraId="4EBFEADC" w14:textId="2FCE4E6A" w:rsidR="00824BAC" w:rsidRPr="002A68CD" w:rsidRDefault="00926DCC" w:rsidP="003F4351">
              <w:pPr>
                <w:spacing w:line="240" w:lineRule="auto"/>
                <w:rPr>
                  <w:b/>
                  <w:bCs/>
                </w:rPr>
              </w:pPr>
              <w:r>
                <w:t xml:space="preserve">Οφείλουμε να αναφέρουμε </w:t>
              </w:r>
              <w:r w:rsidR="002A68CD">
                <w:t xml:space="preserve">ότι </w:t>
              </w:r>
              <w:r w:rsidR="00204C61">
                <w:t xml:space="preserve">στη </w:t>
              </w:r>
              <w:r w:rsidR="002644FD">
                <w:t xml:space="preserve">συνάντηση που είχαμε στις </w:t>
              </w:r>
              <w:r w:rsidR="00824BAC">
                <w:t>9 Νοεμβρίου 2022</w:t>
              </w:r>
              <w:r w:rsidR="002644FD">
                <w:t xml:space="preserve"> με τον Πρωθυπουργό</w:t>
              </w:r>
              <w:r w:rsidR="00204C61">
                <w:t xml:space="preserve">, </w:t>
              </w:r>
              <w:r w:rsidR="002644FD">
                <w:t xml:space="preserve"> αναφερθήκαμε και στο εν λόγω ζήτημα. </w:t>
              </w:r>
              <w:r w:rsidR="00824BAC">
                <w:t xml:space="preserve"> Στη συνάντηση συμμετείχε και ο Υπουργός Επικρατείας, ο οποίος σύμφωνα με το άρθρο </w:t>
              </w:r>
              <w:r w:rsidR="00824BAC" w:rsidRPr="00204C61">
                <w:t>69</w:t>
              </w:r>
              <w:r w:rsidR="00824BAC" w:rsidRPr="002644FD">
                <w:rPr>
                  <w:i/>
                  <w:iCs/>
                </w:rPr>
                <w:t xml:space="preserve"> τ</w:t>
              </w:r>
              <w:r w:rsidR="00824BAC">
                <w:t xml:space="preserve">ου ν. 4488/2017 </w:t>
              </w:r>
              <w:r w:rsidR="002644FD">
                <w:t xml:space="preserve">αποτελεί και τον </w:t>
              </w:r>
              <w:r w:rsidR="00824BAC">
                <w:t>Συντονιστικό Μηχανισμό στην Κυβέρνηση για την εφαρμογή της Σύμβασης των Ηνωμένων Εθνών για τα Δικαιώματα των Ατόμων με Αναπηρίες</w:t>
              </w:r>
              <w:r w:rsidR="002A68CD">
                <w:t xml:space="preserve"> σε εθνικό επίπεδο</w:t>
              </w:r>
              <w:r w:rsidR="00824BAC">
                <w:t xml:space="preserve">. </w:t>
              </w:r>
              <w:r w:rsidR="002644FD" w:rsidRPr="002A68CD">
                <w:rPr>
                  <w:b/>
                  <w:bCs/>
                </w:rPr>
                <w:t xml:space="preserve">Ο Πρωθυπουργός βρήκε δίκαιο και λογικό το αίτημά </w:t>
              </w:r>
              <w:r w:rsidR="000D6A07">
                <w:rPr>
                  <w:b/>
                  <w:bCs/>
                </w:rPr>
                <w:t xml:space="preserve">μας </w:t>
              </w:r>
              <w:r w:rsidR="002644FD" w:rsidRPr="002A68CD">
                <w:rPr>
                  <w:b/>
                  <w:bCs/>
                </w:rPr>
                <w:t xml:space="preserve">και συμφωνήθηκε να προωθηθεί από την Κυβέρνηση </w:t>
              </w:r>
              <w:r w:rsidR="0027326D" w:rsidRPr="00B908C8">
                <w:rPr>
                  <w:b/>
                  <w:bCs/>
                  <w:color w:val="auto"/>
                </w:rPr>
                <w:t xml:space="preserve">σχετική </w:t>
              </w:r>
              <w:r w:rsidR="002644FD" w:rsidRPr="00B908C8">
                <w:rPr>
                  <w:b/>
                  <w:bCs/>
                  <w:color w:val="auto"/>
                </w:rPr>
                <w:t>νομοθετική</w:t>
              </w:r>
              <w:r w:rsidR="00B908C8" w:rsidRPr="00B908C8">
                <w:rPr>
                  <w:b/>
                  <w:bCs/>
                  <w:color w:val="auto"/>
                </w:rPr>
                <w:t xml:space="preserve"> ρύθμιση</w:t>
              </w:r>
              <w:r w:rsidR="0027326D" w:rsidRPr="00B908C8">
                <w:rPr>
                  <w:b/>
                  <w:bCs/>
                  <w:color w:val="auto"/>
                </w:rPr>
                <w:t xml:space="preserve">, </w:t>
              </w:r>
              <w:r w:rsidR="0027326D">
                <w:rPr>
                  <w:b/>
                  <w:bCs/>
                </w:rPr>
                <w:t xml:space="preserve">η οποία θα επεκτείνει την αρχή της μη διάκρισης λόγω αναπηρίας ή χρόνιας πάθησης </w:t>
              </w:r>
              <w:r w:rsidR="002644FD" w:rsidRPr="002A68CD">
                <w:rPr>
                  <w:b/>
                  <w:bCs/>
                </w:rPr>
                <w:t xml:space="preserve">σε όλους τους τομείς </w:t>
              </w:r>
              <w:r w:rsidR="00433BF0">
                <w:rPr>
                  <w:b/>
                  <w:bCs/>
                </w:rPr>
                <w:t xml:space="preserve">της </w:t>
              </w:r>
              <w:r w:rsidR="002644FD" w:rsidRPr="002A68CD">
                <w:rPr>
                  <w:b/>
                  <w:bCs/>
                </w:rPr>
                <w:t xml:space="preserve">ζωής. </w:t>
              </w:r>
            </w:p>
            <w:p w14:paraId="481AFEE4" w14:textId="3E90CB09" w:rsidR="001F40E6" w:rsidRPr="002A68CD" w:rsidRDefault="00204C61" w:rsidP="003F4351">
              <w:pPr>
                <w:spacing w:line="240" w:lineRule="auto"/>
                <w:rPr>
                  <w:u w:val="single"/>
                </w:rPr>
              </w:pPr>
              <w:r w:rsidRPr="002A68CD">
                <w:rPr>
                  <w:b/>
                  <w:bCs/>
                  <w:u w:val="single"/>
                </w:rPr>
                <w:t xml:space="preserve">Προκειμένου να γίνει περισσότερο κατανοητό το αίτημά μας σας, ακολουθεί </w:t>
              </w:r>
              <w:r w:rsidR="000E11E1" w:rsidRPr="002A68CD">
                <w:rPr>
                  <w:b/>
                  <w:bCs/>
                  <w:u w:val="single"/>
                </w:rPr>
                <w:t>μια σύντομη ιστορική αναδρομή</w:t>
              </w:r>
              <w:r w:rsidRPr="002A68CD">
                <w:rPr>
                  <w:u w:val="single"/>
                </w:rPr>
                <w:t xml:space="preserve">. </w:t>
              </w:r>
              <w:r w:rsidR="00CC2A1E" w:rsidRPr="002A68CD">
                <w:rPr>
                  <w:u w:val="single"/>
                </w:rPr>
                <w:t xml:space="preserve"> </w:t>
              </w:r>
            </w:p>
            <w:p w14:paraId="3B46A113" w14:textId="6A8E232F" w:rsidR="00546528" w:rsidRPr="001F40E6" w:rsidRDefault="000165C5" w:rsidP="003F4351">
              <w:pPr>
                <w:spacing w:line="240" w:lineRule="auto"/>
              </w:pPr>
              <w:r>
                <w:t>Όπως γνωρίζετε, το Ελληνικό Κράτος, μέσω του Συντάγματ</w:t>
              </w:r>
              <w:r w:rsidR="00013F15">
                <w:t>ος</w:t>
              </w:r>
              <w:r>
                <w:t xml:space="preserve">, αναγνωρίζει την αρχή των ίσων δικαιωμάτων για όλους τους πολίτες, ορίζοντας ότι όλοι οι πολίτες είναι ίσοι </w:t>
              </w:r>
              <w:r>
                <w:lastRenderedPageBreak/>
                <w:t xml:space="preserve">ενώπιον του νόμου [άρθρο 4, παράγραφος 1. Βλέπε επίσης άρθρα 21, 251, 116]. </w:t>
              </w:r>
              <w:r w:rsidR="00557371">
                <w:t>Επιπρόσθετα, το 2001</w:t>
              </w:r>
              <w:r w:rsidR="00174D09">
                <w:t xml:space="preserve">, </w:t>
              </w:r>
              <w:r w:rsidR="00557371">
                <w:t>με την αναθεώρηση Συντάγματος</w:t>
              </w:r>
              <w:r w:rsidR="00174D09">
                <w:t>,</w:t>
              </w:r>
              <w:r w:rsidR="00557371">
                <w:t xml:space="preserve"> προστέθηκε στο άρθρο 21 η παρ. 6 στην οποία αναφέρεται ότι </w:t>
              </w:r>
              <w:r w:rsidRPr="00B3735E">
                <w:rPr>
                  <w:rFonts w:eastAsia="Cambria" w:cs="Cambria"/>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B3735E">
                <w:rPr>
                  <w:rFonts w:eastAsia="Cambria" w:cs="Cambria"/>
                </w:rPr>
                <w:t>»</w:t>
              </w:r>
              <w:r w:rsidR="00557371">
                <w:rPr>
                  <w:rFonts w:eastAsia="Cambria" w:cs="Cambria"/>
                </w:rPr>
                <w:t xml:space="preserve">. </w:t>
              </w:r>
              <w:r w:rsidR="00AC34F0">
                <w:rPr>
                  <w:rFonts w:eastAsia="Cambria" w:cs="Cambria"/>
                </w:rPr>
                <w:t xml:space="preserve">Ωστόσο, </w:t>
              </w:r>
              <w:r w:rsidR="00557371">
                <w:rPr>
                  <w:rFonts w:eastAsia="Cambria" w:cs="Cambria"/>
                </w:rPr>
                <w:t xml:space="preserve">παρά </w:t>
              </w:r>
              <w:r w:rsidR="00AB53D4">
                <w:rPr>
                  <w:rFonts w:eastAsia="Cambria" w:cs="Cambria"/>
                </w:rPr>
                <w:t>τι</w:t>
              </w:r>
              <w:r w:rsidR="00557371">
                <w:rPr>
                  <w:rFonts w:eastAsia="Cambria" w:cs="Cambria"/>
                </w:rPr>
                <w:t xml:space="preserve">ς </w:t>
              </w:r>
              <w:r w:rsidR="00AB53D4">
                <w:rPr>
                  <w:rFonts w:eastAsia="Cambria" w:cs="Cambria"/>
                </w:rPr>
                <w:t xml:space="preserve">προαναφερθείσες </w:t>
              </w:r>
              <w:r w:rsidR="00557371">
                <w:rPr>
                  <w:rFonts w:eastAsia="Cambria" w:cs="Cambria"/>
                </w:rPr>
                <w:t>συνταγματικές επιταγές</w:t>
              </w:r>
              <w:r w:rsidR="00AB53D4">
                <w:rPr>
                  <w:rFonts w:eastAsia="Cambria" w:cs="Cambria"/>
                </w:rPr>
                <w:t>,</w:t>
              </w:r>
              <w:r w:rsidR="00557371">
                <w:rPr>
                  <w:rFonts w:eastAsia="Cambria" w:cs="Cambria"/>
                </w:rPr>
                <w:t xml:space="preserve"> μέχρι και τα μέσα της δεκαετίας του 2000 δεν υπήρξε καμία ειδική νομοθεσία που να αφορά στην απαγόρευση των διακρίσεων</w:t>
              </w:r>
              <w:r w:rsidR="00174D09">
                <w:rPr>
                  <w:rFonts w:eastAsia="Cambria" w:cs="Cambria"/>
                </w:rPr>
                <w:t xml:space="preserve"> λόγω αναπηρίας</w:t>
              </w:r>
              <w:r w:rsidR="00AB53D4">
                <w:rPr>
                  <w:rFonts w:eastAsia="Cambria" w:cs="Cambria"/>
                </w:rPr>
                <w:t xml:space="preserve"> ή χρόνιας πάθησης</w:t>
              </w:r>
              <w:r w:rsidR="00557371">
                <w:rPr>
                  <w:rFonts w:eastAsia="Cambria" w:cs="Cambria"/>
                </w:rPr>
                <w:t xml:space="preserve">.  </w:t>
              </w:r>
            </w:p>
            <w:p w14:paraId="4F67DC46" w14:textId="41F58AD2" w:rsidR="00C55AF8" w:rsidRDefault="00557371" w:rsidP="003F4351">
              <w:pPr>
                <w:spacing w:line="240" w:lineRule="auto"/>
              </w:pPr>
              <w:r>
                <w:rPr>
                  <w:rFonts w:eastAsia="Cambria" w:cs="Cambria"/>
                </w:rPr>
                <w:t xml:space="preserve">Το </w:t>
              </w:r>
              <w:r w:rsidR="00AB53D4">
                <w:rPr>
                  <w:rFonts w:eastAsia="Cambria" w:cs="Cambria"/>
                </w:rPr>
                <w:t xml:space="preserve">2000 η Ευρωπαϊκή Ένωση ψηφίζει </w:t>
              </w:r>
              <w:r w:rsidR="00C55AF8">
                <w:rPr>
                  <w:rFonts w:eastAsia="Cambria" w:cs="Cambria"/>
                </w:rPr>
                <w:t xml:space="preserve">τις εξής δύο Οδηγίες: α) την </w:t>
              </w:r>
              <w:r w:rsidR="002D09F4">
                <w:rPr>
                  <w:rFonts w:eastAsia="Cambria" w:cs="Cambria"/>
                </w:rPr>
                <w:t xml:space="preserve">Οδηγία </w:t>
              </w:r>
              <w:r w:rsidR="002D09F4" w:rsidRPr="002D09F4">
                <w:rPr>
                  <w:rFonts w:eastAsia="Cambria" w:cs="Cambria"/>
                </w:rPr>
                <w:t>2000/43 Εκ του Συμβουλίου της 29ης Ιουνίου 2000</w:t>
              </w:r>
              <w:r w:rsidR="002D09F4">
                <w:rPr>
                  <w:rFonts w:eastAsia="Cambria" w:cs="Cambria"/>
                </w:rPr>
                <w:t xml:space="preserve"> </w:t>
              </w:r>
              <w:r w:rsidR="002D09F4" w:rsidRPr="002D09F4">
                <w:rPr>
                  <w:rFonts w:eastAsia="Cambria" w:cs="Cambria"/>
                </w:rPr>
                <w:t>«</w:t>
              </w:r>
              <w:r w:rsidR="002D09F4" w:rsidRPr="00546528">
                <w:rPr>
                  <w:rFonts w:eastAsia="Cambria" w:cs="Cambria"/>
                  <w:i/>
                  <w:iCs/>
                </w:rPr>
                <w:t>Περί εφαρμογής της αρχής της ίσης μεταχείρισης προσώπων ασχέτως φυλετικής ή εθνοτικής τους καταγωγής»</w:t>
              </w:r>
              <w:r w:rsidR="002D09F4">
                <w:rPr>
                  <w:rFonts w:eastAsia="Cambria" w:cs="Cambria"/>
                </w:rPr>
                <w:t xml:space="preserve"> και </w:t>
              </w:r>
              <w:r w:rsidR="00C55AF8">
                <w:rPr>
                  <w:rFonts w:eastAsia="Cambria" w:cs="Cambria"/>
                </w:rPr>
                <w:t xml:space="preserve">β) </w:t>
              </w:r>
              <w:r w:rsidR="002D09F4">
                <w:rPr>
                  <w:rFonts w:eastAsia="Cambria" w:cs="Cambria"/>
                </w:rPr>
                <w:t xml:space="preserve">την </w:t>
              </w:r>
              <w:r w:rsidR="00C55AF8">
                <w:rPr>
                  <w:rFonts w:eastAsia="Cambria" w:cs="Cambria"/>
                </w:rPr>
                <w:t xml:space="preserve">Οδηγία </w:t>
              </w:r>
              <w:r w:rsidR="002D09F4" w:rsidRPr="002D09F4">
                <w:rPr>
                  <w:rFonts w:eastAsia="Cambria" w:cs="Cambria"/>
                </w:rPr>
                <w:t>2000/78/Εκ του Συμβουλίου της 27</w:t>
              </w:r>
              <w:r w:rsidR="0031120B">
                <w:rPr>
                  <w:rFonts w:eastAsia="Cambria" w:cs="Cambria"/>
                  <w:vertAlign w:val="superscript"/>
                </w:rPr>
                <w:t xml:space="preserve">ης </w:t>
              </w:r>
              <w:r w:rsidR="002D09F4" w:rsidRPr="002D09F4">
                <w:rPr>
                  <w:rFonts w:eastAsia="Cambria" w:cs="Cambria"/>
                </w:rPr>
                <w:t>Νοεμβρίου 2000</w:t>
              </w:r>
              <w:r w:rsidR="002D09F4">
                <w:rPr>
                  <w:rFonts w:eastAsia="Cambria" w:cs="Cambria"/>
                </w:rPr>
                <w:t xml:space="preserve"> </w:t>
              </w:r>
              <w:r w:rsidR="002D09F4" w:rsidRPr="002D09F4">
                <w:rPr>
                  <w:rFonts w:eastAsia="Cambria" w:cs="Cambria"/>
                </w:rPr>
                <w:t>«</w:t>
              </w:r>
              <w:r w:rsidR="002D09F4" w:rsidRPr="00546528">
                <w:rPr>
                  <w:rFonts w:eastAsia="Cambria" w:cs="Cambria"/>
                  <w:i/>
                  <w:iCs/>
                </w:rPr>
                <w:t>για τη διαμόρφωση γενικού πλαισίου για την ίση μεταχείριση στην απασχόληση και την εργασία»</w:t>
              </w:r>
              <w:r w:rsidR="002D09F4" w:rsidRPr="002D09F4">
                <w:rPr>
                  <w:rFonts w:eastAsia="Cambria" w:cs="Cambria"/>
                </w:rPr>
                <w:t>, ανεξαρτήτως θρησκευτικών ή άλλων πεποιθήσεων,</w:t>
              </w:r>
              <w:r w:rsidR="002D09F4">
                <w:rPr>
                  <w:rFonts w:eastAsia="Cambria" w:cs="Cambria"/>
                </w:rPr>
                <w:t xml:space="preserve"> </w:t>
              </w:r>
              <w:r w:rsidR="002D09F4" w:rsidRPr="002D09F4">
                <w:rPr>
                  <w:rFonts w:eastAsia="Cambria" w:cs="Cambria"/>
                </w:rPr>
                <w:t>αναπηρίας, ηλικίας ή γενετήσιου προσανατολισμού.</w:t>
              </w:r>
              <w:r w:rsidR="002D09F4">
                <w:rPr>
                  <w:rFonts w:eastAsia="Cambria" w:cs="Cambria"/>
                </w:rPr>
                <w:t xml:space="preserve"> </w:t>
              </w:r>
              <w:r w:rsidR="00AE7260">
                <w:rPr>
                  <w:rFonts w:eastAsia="Cambria" w:cs="Cambria"/>
                </w:rPr>
                <w:t xml:space="preserve">Η </w:t>
              </w:r>
              <w:r w:rsidR="00A1350A">
                <w:rPr>
                  <w:rFonts w:eastAsia="Cambria" w:cs="Cambria"/>
                </w:rPr>
                <w:t xml:space="preserve">συμπερίληψη </w:t>
              </w:r>
              <w:r w:rsidR="002517E6">
                <w:rPr>
                  <w:rFonts w:eastAsia="Cambria" w:cs="Cambria"/>
                </w:rPr>
                <w:t xml:space="preserve">της </w:t>
              </w:r>
              <w:r w:rsidR="00546528">
                <w:rPr>
                  <w:rFonts w:eastAsia="Cambria" w:cs="Cambria"/>
                </w:rPr>
                <w:t xml:space="preserve">αναπηρίας </w:t>
              </w:r>
              <w:r w:rsidR="00AC34F0">
                <w:rPr>
                  <w:rFonts w:eastAsia="Cambria" w:cs="Cambria"/>
                </w:rPr>
                <w:t xml:space="preserve">στην </w:t>
              </w:r>
              <w:r w:rsidR="002D09F4">
                <w:rPr>
                  <w:rFonts w:eastAsia="Cambria" w:cs="Cambria"/>
                </w:rPr>
                <w:t xml:space="preserve">Οδηγία 2000/78 </w:t>
              </w:r>
              <w:r w:rsidR="00546528">
                <w:rPr>
                  <w:rFonts w:eastAsia="Cambria" w:cs="Cambria"/>
                </w:rPr>
                <w:t xml:space="preserve">οφείλεται </w:t>
              </w:r>
              <w:r w:rsidR="00013F15">
                <w:rPr>
                  <w:rFonts w:eastAsia="Cambria" w:cs="Cambria"/>
                </w:rPr>
                <w:t xml:space="preserve">στη </w:t>
              </w:r>
              <w:r w:rsidR="00546528">
                <w:rPr>
                  <w:rFonts w:eastAsia="Cambria" w:cs="Cambria"/>
                </w:rPr>
                <w:t>Συνθήκη του Άμστερνταμ (1997)</w:t>
              </w:r>
              <w:r w:rsidR="002517E6">
                <w:rPr>
                  <w:rFonts w:eastAsia="Cambria" w:cs="Cambria"/>
                </w:rPr>
                <w:t xml:space="preserve"> με την οποία </w:t>
              </w:r>
              <w:r w:rsidR="00A1350A">
                <w:rPr>
                  <w:rFonts w:eastAsia="Cambria" w:cs="Cambria"/>
                </w:rPr>
                <w:t xml:space="preserve">αναγνωρίστηκε </w:t>
              </w:r>
              <w:r w:rsidR="00A50D1C">
                <w:rPr>
                  <w:rFonts w:eastAsia="Cambria" w:cs="Cambria"/>
                </w:rPr>
                <w:t xml:space="preserve">αφενός </w:t>
              </w:r>
              <w:r w:rsidR="00A1350A">
                <w:rPr>
                  <w:rFonts w:eastAsia="Cambria" w:cs="Cambria"/>
                </w:rPr>
                <w:t xml:space="preserve">η </w:t>
              </w:r>
              <w:r w:rsidR="002517E6">
                <w:rPr>
                  <w:rFonts w:eastAsia="Cambria" w:cs="Cambria"/>
                </w:rPr>
                <w:t xml:space="preserve">αναπηρία </w:t>
              </w:r>
              <w:r w:rsidR="00A1350A">
                <w:t xml:space="preserve">ως αιτία διάκρισης </w:t>
              </w:r>
              <w:r w:rsidR="00AE7260">
                <w:t>(Άρθρο 13</w:t>
              </w:r>
              <w:r w:rsidR="00580A86">
                <w:t>)</w:t>
              </w:r>
              <w:r w:rsidR="00A50D1C">
                <w:t xml:space="preserve">, αφετέρου η </w:t>
              </w:r>
              <w:r w:rsidR="00AE7260">
                <w:t xml:space="preserve">συμπερίληψη των αναγκών των ατόμων με αναπηρία κατά την εκπόνηση μέτρων από τα </w:t>
              </w:r>
              <w:r w:rsidR="00A50D1C">
                <w:t xml:space="preserve">όργανα της Ευρωπαϊκής Ένωσης </w:t>
              </w:r>
              <w:r w:rsidR="00AE7260">
                <w:t>(«22. Δήλωση σχετικά με πρόσωπα με ειδικές ανάγκες»).</w:t>
              </w:r>
              <w:r w:rsidR="00C55AF8">
                <w:t xml:space="preserve"> </w:t>
              </w:r>
            </w:p>
            <w:p w14:paraId="1DB78A8B" w14:textId="72109526" w:rsidR="00C55AF8" w:rsidRDefault="00C55AF8" w:rsidP="003F4351">
              <w:pPr>
                <w:tabs>
                  <w:tab w:val="left" w:pos="0"/>
                </w:tabs>
                <w:spacing w:after="200" w:line="240" w:lineRule="auto"/>
              </w:pPr>
              <w:r>
                <w:t xml:space="preserve">Η </w:t>
              </w:r>
              <w:r w:rsidRPr="00C55AF8">
                <w:t xml:space="preserve">Ε.Σ.Α.μεΑ. συμμετείχε </w:t>
              </w:r>
              <w:r w:rsidR="00FD0B54">
                <w:t xml:space="preserve">από την αρχή </w:t>
              </w:r>
              <w:r w:rsidRPr="00C55AF8">
                <w:t xml:space="preserve">σε όλες τις διαβουλεύσεις </w:t>
              </w:r>
              <w:r w:rsidR="00013F15">
                <w:t xml:space="preserve">(αρχικά με το Υπουργείο Εργασίας και κατόπιν με το Υπουργείο Δικαιοσύνης) </w:t>
              </w:r>
              <w:r w:rsidRPr="00C55AF8">
                <w:t>που έλαβαν χώρα</w:t>
              </w:r>
              <w:r w:rsidR="005C27A8">
                <w:t xml:space="preserve"> </w:t>
              </w:r>
              <w:r w:rsidRPr="00C55AF8">
                <w:t>για</w:t>
              </w:r>
              <w:r w:rsidR="005B772B">
                <w:t xml:space="preserve"> την</w:t>
              </w:r>
              <w:r w:rsidRPr="00C55AF8">
                <w:t xml:space="preserve"> ενσωμάτωση της Οδηγίας 78/2000</w:t>
              </w:r>
              <w:r w:rsidR="00D13BD7" w:rsidRPr="00D13BD7">
                <w:t xml:space="preserve"> </w:t>
              </w:r>
              <w:r w:rsidR="00D13BD7" w:rsidRPr="00C55AF8">
                <w:t>στην εθνική μας νομοθεσία</w:t>
              </w:r>
              <w:r w:rsidRPr="00C55AF8">
                <w:t>.</w:t>
              </w:r>
              <w:r w:rsidR="00013F15">
                <w:t xml:space="preserve"> </w:t>
              </w:r>
              <w:r w:rsidRPr="00C55AF8">
                <w:t xml:space="preserve"> Το βασικότερο αίτημα της Συνομοσπονδίας, το οποίο είχαμε εκφράσει </w:t>
              </w:r>
              <w:r w:rsidR="00917763">
                <w:t>σ</w:t>
              </w:r>
              <w:r w:rsidRPr="00C55AF8">
                <w:t>την τότε Νομοπαρασκευαστική Επιτροπή του Υπουργείου Δικαιοσύνης, ήταν η διεύρυνση του πεδίου εφαρμογής της αρχής της ίσης μεταχείρισης και πέραν του τομέα της εργασίας/απασχόλησης</w:t>
              </w:r>
              <w:r w:rsidR="002517E6">
                <w:t xml:space="preserve"> </w:t>
              </w:r>
              <w:r w:rsidR="00580A86">
                <w:t xml:space="preserve">σε αντιστοιχία με το άρθρο 3 «Πεδίο Εφαρμογής» της Οδηγίας 2000/43 (στο οποίο περιλαμβάνονται και οι τομείς της κοινωνικής προστασίας, της κοινωνικής ασφάλισης, της υγειονομικής περίθαλψης, των κοινωνικών παροχών, της εκπαίδευσης, της στέγασης, της  πρόσβασης σε αγαθά και υπηρεσίες που είναι διαθέσιμα στο κοινό ) και </w:t>
              </w:r>
              <w:r w:rsidRPr="00C55AF8">
                <w:t xml:space="preserve">αυτό διότι </w:t>
              </w:r>
              <w:r w:rsidR="00013F15" w:rsidRPr="00B908C8">
                <w:rPr>
                  <w:color w:val="auto"/>
                </w:rPr>
                <w:t xml:space="preserve">το αναπηρικό </w:t>
              </w:r>
              <w:r w:rsidR="00B908C8" w:rsidRPr="00B908C8">
                <w:rPr>
                  <w:color w:val="auto"/>
                </w:rPr>
                <w:t xml:space="preserve">κίνημα </w:t>
              </w:r>
              <w:r w:rsidRPr="00B908C8">
                <w:rPr>
                  <w:color w:val="auto"/>
                </w:rPr>
                <w:t xml:space="preserve">είχε διαπιστώσει </w:t>
              </w:r>
              <w:r w:rsidR="00580A86">
                <w:t xml:space="preserve">-και εξακολουθεί να υποστηρίζει- </w:t>
              </w:r>
              <w:r w:rsidRPr="00C55AF8">
                <w:t xml:space="preserve">ότι ο αποκλεισμός των ατόμων με αναπηρία από την αγορά εργασίας οφείλεται στη διάκριση που υφίστανται σε όλους τους τομείς της ζωής τους, ήτοι στο δομημένο περιβάλλον, στην εκπαίδευση, στην κατάρτιση, στην κοινωνία της πληροφορίας, στις μεταφορές κ.λπ. </w:t>
              </w:r>
              <w:r w:rsidR="005B772B">
                <w:t xml:space="preserve"> Ωστόσο</w:t>
              </w:r>
              <w:r w:rsidR="00013F15">
                <w:t>,</w:t>
              </w:r>
              <w:r w:rsidR="005B772B">
                <w:t xml:space="preserve"> το αίτημά μας δεν ικανοποιήθηκε </w:t>
              </w:r>
              <w:r w:rsidR="00BD0FE4">
                <w:t xml:space="preserve">καθώς το </w:t>
              </w:r>
              <w:r w:rsidR="00013F15">
                <w:t xml:space="preserve">πεδίο εφαρμογής του </w:t>
              </w:r>
              <w:r w:rsidR="005B772B">
                <w:t>ν.3304/200</w:t>
              </w:r>
              <w:r w:rsidR="00A50D1C">
                <w:t>5 που ψηφίστηκε από την Ελληνική Βουλή</w:t>
              </w:r>
              <w:r w:rsidR="00BD0FE4">
                <w:t xml:space="preserve"> </w:t>
              </w:r>
              <w:r w:rsidR="00013F15">
                <w:t>περιορίστηκε</w:t>
              </w:r>
              <w:r w:rsidR="00BD0FE4">
                <w:t xml:space="preserve"> στην περίπτωση της Οδηγίας 2000/78 αποκλειστικά και μόνο στον </w:t>
              </w:r>
              <w:r w:rsidR="00013F15">
                <w:t xml:space="preserve">τομέα της εργασίας και απασχόλησης. </w:t>
              </w:r>
            </w:p>
            <w:p w14:paraId="410B334B" w14:textId="66D8EE43" w:rsidR="00BE20A5" w:rsidRDefault="00BE20A5" w:rsidP="003F4351">
              <w:pPr>
                <w:tabs>
                  <w:tab w:val="left" w:pos="0"/>
                </w:tabs>
                <w:spacing w:after="200" w:line="240" w:lineRule="auto"/>
              </w:pPr>
              <w:r>
                <w:t xml:space="preserve">Το 2012 η Ελληνική Βουλή τον ν.4074 </w:t>
              </w:r>
              <w:r w:rsidR="00EA2DA6">
                <w:t xml:space="preserve">κυρώνει </w:t>
              </w:r>
              <w:r>
                <w:t xml:space="preserve">τη Σύμβαση των Ηνωμένων Εθνών για τα Δικαιώματα των Ατόμων με Αναπηρίες, αναλαμβάνοντας την υποχρέωση να εφαρμόσει </w:t>
              </w:r>
              <w:r w:rsidR="00FD0B54">
                <w:t xml:space="preserve">σε εθνικό επίπεδο </w:t>
              </w:r>
              <w:r>
                <w:t xml:space="preserve">όλα τα δικαιώματα που περιλαμβάνονται σε αυτή. </w:t>
              </w:r>
              <w:r w:rsidR="00BD0FE4">
                <w:t xml:space="preserve">Πρέπει να επισημανθεί ότι η </w:t>
              </w:r>
              <w:r w:rsidR="000E11E1">
                <w:t xml:space="preserve">αρχή της μη </w:t>
              </w:r>
              <w:r w:rsidR="003B6D24">
                <w:t>διάκριση</w:t>
              </w:r>
              <w:r w:rsidR="000E11E1">
                <w:t>ς</w:t>
              </w:r>
              <w:r w:rsidR="003B6D24">
                <w:t xml:space="preserve"> λόγω αναπηρίας αποτελεί μια από τις γενικές αρχές της Σύμβασης (άρθρο 3). Αυτό σημαίνει ότι η απόλαυση από τα άτομα με αναπηρία όλων των υπολοίπων δικαιωμάτων </w:t>
              </w:r>
              <w:r w:rsidR="00FD0B54">
                <w:t xml:space="preserve">που </w:t>
              </w:r>
              <w:r w:rsidR="003B6D24">
                <w:t xml:space="preserve">η Σύμβαση αναγνωρίζει </w:t>
              </w:r>
              <w:r w:rsidR="00FA3B69">
                <w:t xml:space="preserve">εξαρτάται απόλυτα </w:t>
              </w:r>
              <w:r w:rsidR="003B6D24">
                <w:t xml:space="preserve">από την εφαρμογή </w:t>
              </w:r>
              <w:r w:rsidR="00FD0B54">
                <w:t xml:space="preserve">και </w:t>
              </w:r>
              <w:r w:rsidR="003B6D24">
                <w:t>αυτή</w:t>
              </w:r>
              <w:r w:rsidR="00BD0FE4">
                <w:t>ς</w:t>
              </w:r>
              <w:r w:rsidR="003B6D24">
                <w:t xml:space="preserve"> της αρχής.  </w:t>
              </w:r>
              <w:r w:rsidR="00465AB4">
                <w:t xml:space="preserve">Επίσης </w:t>
              </w:r>
              <w:r w:rsidR="002C3EC9">
                <w:t xml:space="preserve">στη </w:t>
              </w:r>
              <w:r w:rsidR="003B6D24">
                <w:t xml:space="preserve">Σύμβαση </w:t>
              </w:r>
              <w:r w:rsidR="002C3EC9">
                <w:t>διευκρινίζεται ρητώς: α)</w:t>
              </w:r>
              <w:r w:rsidR="003B6D24">
                <w:t xml:space="preserve"> ότι </w:t>
              </w:r>
              <w:r w:rsidR="003B6D24" w:rsidRPr="003B6D24">
                <w:rPr>
                  <w:i/>
                  <w:iCs/>
                </w:rPr>
                <w:t xml:space="preserve">«διακρίσεις βάσει της αναπηρίας σημαίνει οποιαδήποτε διάκριση, αποκλεισμό ή περιορισμό βάσει της αναπηρίας, οι οποία έχει ως σκοπό ή επίπτωση να εμποδίσει ή να </w:t>
              </w:r>
              <w:r w:rsidR="003B6D24" w:rsidRPr="003B6D24">
                <w:rPr>
                  <w:i/>
                  <w:iCs/>
                </w:rPr>
                <w:lastRenderedPageBreak/>
                <w:t>ακυρώσει την αναγνώριση, απόλαυση ή  άσκηση, σε ίση βάση με τους άλλους, όλων των ανθρωπίνων δικαιωμάτων και των θεμελιωδών ελευθεριών στον πολιτικό, οικονομικό, κοινωνικό, πολιτιστικό, ατομικό ή οποιοδήποτε άλλο τομέα. Περιλαμβάνει όλες τις μορφές διακρίσεων, συμπεριλαμβανομένης και της άρνησης παροχής εύλογης προσαρμογής»</w:t>
              </w:r>
              <w:r w:rsidR="003B6D24">
                <w:t xml:space="preserve"> </w:t>
              </w:r>
              <w:r w:rsidR="002C3EC9">
                <w:t xml:space="preserve">(άρθρο 2) και β) πως </w:t>
              </w:r>
              <w:r w:rsidR="00FA3B69">
                <w:t xml:space="preserve">τα </w:t>
              </w:r>
              <w:r w:rsidRPr="00BE20A5">
                <w:t xml:space="preserve">Συμβαλλόμενα Κράτη οφείλουν να </w:t>
              </w:r>
              <w:r w:rsidRPr="00BE20A5">
                <w:rPr>
                  <w:i/>
                  <w:iCs/>
                </w:rPr>
                <w:t>«[…] απαγορεύουν όλες τις διακρίσεις βάσει της αναπηρίας και (να) εγγυώνται στα άτομα με αναπηρίες ίση και αποτελεσματική νομική προστασία κατά των διακρίσεων για οποιοδήποτε λόγο […]»</w:t>
              </w:r>
              <w:r w:rsidR="002C3EC9">
                <w:rPr>
                  <w:i/>
                  <w:iCs/>
                </w:rPr>
                <w:t xml:space="preserve"> (</w:t>
              </w:r>
              <w:r w:rsidR="002C3EC9">
                <w:t>‘άρθρο 5, παρ. 2)</w:t>
              </w:r>
              <w:r w:rsidRPr="00BE20A5">
                <w:rPr>
                  <w:i/>
                  <w:iCs/>
                </w:rPr>
                <w:t>.</w:t>
              </w:r>
              <w:r w:rsidR="003B6D24">
                <w:rPr>
                  <w:i/>
                  <w:iCs/>
                </w:rPr>
                <w:t xml:space="preserve"> </w:t>
              </w:r>
              <w:r w:rsidR="00FA3B69">
                <w:rPr>
                  <w:i/>
                  <w:iCs/>
                </w:rPr>
                <w:t xml:space="preserve"> </w:t>
              </w:r>
              <w:r w:rsidR="00FA3B69" w:rsidRPr="00FA3B69">
                <w:t>Από τα προαναφερθέντα γίνεται αντιληπτό ό</w:t>
              </w:r>
              <w:r w:rsidR="00FA3B69">
                <w:t>τι το ζήτημα της επέκτασης της αρχής της μη διάκρισης λόγω αναπηρίας ή χρόνιας πάθησης αποτελεί μείζον ζήτημ</w:t>
              </w:r>
              <w:r w:rsidR="002C3EC9">
                <w:t>α</w:t>
              </w:r>
              <w:r w:rsidR="00FA3B69">
                <w:t xml:space="preserve">. </w:t>
              </w:r>
            </w:p>
            <w:p w14:paraId="14371C27" w14:textId="1DA920B3" w:rsidR="002C3EC9" w:rsidRDefault="00EA2DA6" w:rsidP="003F4351">
              <w:pPr>
                <w:spacing w:line="240" w:lineRule="auto"/>
                <w:rPr>
                  <w:i/>
                  <w:iCs/>
                </w:rPr>
              </w:pPr>
              <w:r>
                <w:t xml:space="preserve">Το 2016 καταργείται ο </w:t>
              </w:r>
              <w:r w:rsidR="00FA3B69">
                <w:t xml:space="preserve">ν. 3304/2015 </w:t>
              </w:r>
              <w:r>
                <w:t xml:space="preserve">και θεσπίζεται ο ν. 4443/2016. Με τον νόμο αυτό </w:t>
              </w:r>
              <w:r w:rsidR="00E110CC">
                <w:t>προστίθεται στη έννοια των διακρίσεων</w:t>
              </w:r>
              <w:r w:rsidR="009772A7">
                <w:t xml:space="preserve"> (άρθρο 2)</w:t>
              </w:r>
              <w:r w:rsidR="00465AB4">
                <w:t>,</w:t>
              </w:r>
              <w:r w:rsidR="00E110CC">
                <w:t xml:space="preserve"> η  διάκριση λόγω χρόνιας πάθησης, η πολλαπλή διάκριση λόγω αναπηρίας ή χρόνιας πάθησης, η άρνηση παροχής εύλογων </w:t>
              </w:r>
              <w:r w:rsidR="00465AB4">
                <w:t xml:space="preserve">προσαρμογών </w:t>
              </w:r>
              <w:r w:rsidR="00E110CC">
                <w:t>και η διάκριση λόγω σχέσης με άτομο</w:t>
              </w:r>
              <w:r w:rsidR="00465AB4">
                <w:t>/α</w:t>
              </w:r>
              <w:r w:rsidR="00E110CC">
                <w:t xml:space="preserve"> με αναπηρία</w:t>
              </w:r>
              <w:r w:rsidR="002C3EC9">
                <w:t>. Πρόκειται για θετικές εξελίξεις</w:t>
              </w:r>
              <w:r w:rsidR="009772A7">
                <w:t>,</w:t>
              </w:r>
              <w:r w:rsidR="00FA3B69">
                <w:t xml:space="preserve"> </w:t>
              </w:r>
              <w:r w:rsidR="002B1225">
                <w:t xml:space="preserve">οι </w:t>
              </w:r>
              <w:r w:rsidR="00FA3B69">
                <w:t>οποίες όμως για ακόμη μια φορά περιορίζονται στον τομέα της εργασίας/απασχόλησης</w:t>
              </w:r>
              <w:r w:rsidR="00E110CC">
                <w:t xml:space="preserve">. Παρά </w:t>
              </w:r>
              <w:r w:rsidR="009772A7">
                <w:t xml:space="preserve">τις προσπάθειες </w:t>
              </w:r>
              <w:r w:rsidR="00E110CC">
                <w:t xml:space="preserve">που </w:t>
              </w:r>
              <w:r w:rsidR="009772A7">
                <w:t xml:space="preserve">για </w:t>
              </w:r>
              <w:r w:rsidR="00E110CC">
                <w:t>ακόμη μια φορά κατέβαλε η Ε.Σ.Α.μεΑ.</w:t>
              </w:r>
              <w:r w:rsidR="009772A7">
                <w:t xml:space="preserve">, </w:t>
              </w:r>
              <w:r w:rsidR="00A27B77">
                <w:t xml:space="preserve">χρησιμοποιώντας </w:t>
              </w:r>
              <w:r w:rsidR="000E11E1">
                <w:t xml:space="preserve">ως </w:t>
              </w:r>
              <w:r w:rsidR="00A27B77">
                <w:t xml:space="preserve">επιχείρημα τις </w:t>
              </w:r>
              <w:r w:rsidR="002C3EC9">
                <w:t xml:space="preserve">προβλέψεις της Σύμβασης των Ηνωμένων Εθνών για τα Δικαιώματα των Ατόμων με Αναπηρίες </w:t>
              </w:r>
              <w:r w:rsidR="00A27B77">
                <w:t xml:space="preserve">στις οποίες προαναφερθήκαμε, </w:t>
              </w:r>
              <w:r w:rsidR="00E110CC">
                <w:t xml:space="preserve">το αίτημά της </w:t>
              </w:r>
              <w:r w:rsidR="009772A7">
                <w:t>για επέκταση της εφαρμογής της αρχής τη μη διάκρισης λόγω αναπηρίας ή χρόνιας πάθησης και πέραν του τομέα της εργασίας/απασχόλησης δεν ικανοποιείται και πάλι</w:t>
              </w:r>
              <w:r w:rsidR="00E110CC">
                <w:t>.</w:t>
              </w:r>
              <w:r w:rsidR="00465AB4">
                <w:t xml:space="preserve"> </w:t>
              </w:r>
              <w:r w:rsidR="003C2730">
                <w:t xml:space="preserve">Αποτέλεσμα </w:t>
              </w:r>
              <w:r w:rsidR="009772A7">
                <w:t xml:space="preserve">των προσπαθειών </w:t>
              </w:r>
              <w:r w:rsidR="00465AB4">
                <w:t xml:space="preserve">της </w:t>
              </w:r>
              <w:r w:rsidR="009772A7">
                <w:t xml:space="preserve">ήταν </w:t>
              </w:r>
              <w:r w:rsidR="003C2730">
                <w:t xml:space="preserve">να συμπεριληφθεί στο άρθρο </w:t>
              </w:r>
              <w:r w:rsidR="002F3FB0">
                <w:t xml:space="preserve">24 του ν.4443/2016 </w:t>
              </w:r>
              <w:r w:rsidR="003C2730">
                <w:t xml:space="preserve">η πρόβλεψη για την έκδοση </w:t>
              </w:r>
              <w:r w:rsidR="002F3FB0">
                <w:t xml:space="preserve">Προεδρικού Διατάγματος </w:t>
              </w:r>
              <w:r w:rsidR="003C2730">
                <w:t xml:space="preserve">με στόχο </w:t>
              </w:r>
              <w:r w:rsidR="002F3FB0">
                <w:t>την επέκταση της προστασίας που παρέχεται</w:t>
              </w:r>
              <w:r w:rsidR="0079403A">
                <w:t xml:space="preserve">, μεταξύ άλλων, </w:t>
              </w:r>
              <w:r w:rsidR="002F3FB0" w:rsidRPr="002F3FB0">
                <w:t xml:space="preserve">για διακρίσεις λόγω αναπηρίας ή χρόνιας πάθησης, </w:t>
              </w:r>
              <w:r w:rsidR="002F3FB0" w:rsidRPr="002F3FB0">
                <w:rPr>
                  <w:i/>
                  <w:iCs/>
                </w:rPr>
                <w:t>«και πέραν των τομέων εργασίας και απασχόλησης, στους τομείς της κοινωνικής προστασίας, συμπεριλαμβανομένης της κοινωνικής ασφάλισης και της υγειονομικής περίθαλψης, των κοινωνικών παροχών και φορολογικών διευκολύνσεων, της εκπαίδευσης και της πρόσβασης στη διάθεση και παροχή αγαθών και υπηρεσιών που διατίθενται συναλλακτικά στο κοινό, συμπεριλαμβανομένης και της στέγης».</w:t>
              </w:r>
              <w:r w:rsidR="002F3FB0">
                <w:rPr>
                  <w:i/>
                  <w:iCs/>
                </w:rPr>
                <w:t xml:space="preserve"> </w:t>
              </w:r>
            </w:p>
            <w:p w14:paraId="2E973EF9" w14:textId="590B6F48" w:rsidR="00C5709F" w:rsidRPr="00C5709F" w:rsidRDefault="002C3EC9" w:rsidP="003F4351">
              <w:pPr>
                <w:spacing w:line="240" w:lineRule="auto"/>
              </w:pPr>
              <w:r w:rsidRPr="002C3EC9">
                <w:t>Κατά την κατάρτιση του Μέρους Δ’ του ν. 4488/2017</w:t>
              </w:r>
              <w:r>
                <w:rPr>
                  <w:i/>
                  <w:iCs/>
                </w:rPr>
                <w:t xml:space="preserve"> </w:t>
              </w:r>
              <w:r w:rsidR="0079403A" w:rsidRPr="0079403A">
                <w:t>(</w:t>
              </w:r>
              <w:r w:rsidR="0079403A">
                <w:t xml:space="preserve">Αρ. </w:t>
              </w:r>
              <w:r w:rsidR="0079403A" w:rsidRPr="0079403A">
                <w:t>ΦΕΚ Α' 137/13</w:t>
              </w:r>
              <w:r w:rsidR="0079403A">
                <w:t>.</w:t>
              </w:r>
              <w:r w:rsidR="0079403A" w:rsidRPr="0079403A">
                <w:t>09</w:t>
              </w:r>
              <w:r w:rsidR="0079403A">
                <w:t>.</w:t>
              </w:r>
              <w:r w:rsidR="0079403A" w:rsidRPr="0079403A">
                <w:t>2017)</w:t>
              </w:r>
              <w:r w:rsidR="0079403A">
                <w:t xml:space="preserve"> -</w:t>
              </w:r>
              <w:r w:rsidR="002F3FB0">
                <w:t xml:space="preserve">με τον οποίο </w:t>
              </w:r>
              <w:r w:rsidR="0079403A">
                <w:t xml:space="preserve">θεσπίστηκαν </w:t>
              </w:r>
              <w:r w:rsidR="002F3FB0">
                <w:t>οι κατευθυντήριες-οργανωτικές διατάξεις υλοποίησης της Σύμβασης των Ηνωμένων Εθνών για τα Δικαιώματα των Ατόμων με Αναπηρίες</w:t>
              </w:r>
              <w:r w:rsidR="0079403A">
                <w:t>-</w:t>
              </w:r>
              <w:r w:rsidR="002F3FB0">
                <w:t xml:space="preserve"> </w:t>
              </w:r>
              <w:r>
                <w:t>η Ε.Σ.Α.μεΑ. προβάλει ξανά το ίδιο αίτημα</w:t>
              </w:r>
              <w:r w:rsidR="00FE15FC">
                <w:t xml:space="preserve">, το οποίο όμως </w:t>
              </w:r>
              <w:r>
                <w:t>για ακόμη μια φορά</w:t>
              </w:r>
              <w:r w:rsidRPr="002C3EC9">
                <w:t xml:space="preserve"> </w:t>
              </w:r>
              <w:r>
                <w:t xml:space="preserve">δεν γίνεται αποδεκτό. </w:t>
              </w:r>
              <w:r w:rsidR="009772A7">
                <w:t xml:space="preserve">Αποτέλεσμα των προσπαθειών της είναι να συμπεριληφθεί στο </w:t>
              </w:r>
              <w:r w:rsidR="002F3FB0">
                <w:t xml:space="preserve">άρθρο </w:t>
              </w:r>
              <w:r w:rsidR="0079403A">
                <w:t>74</w:t>
              </w:r>
              <w:r>
                <w:t xml:space="preserve"> </w:t>
              </w:r>
              <w:r w:rsidR="0079403A">
                <w:t>παρ. 4,</w:t>
              </w:r>
              <w:r w:rsidR="009772A7">
                <w:t xml:space="preserve"> </w:t>
              </w:r>
              <w:r>
                <w:t xml:space="preserve">η πρόνοια ότι </w:t>
              </w:r>
              <w:r w:rsidR="0079403A">
                <w:t>η</w:t>
              </w:r>
              <w:r w:rsidR="00C402B5" w:rsidRPr="00C402B5">
                <w:t xml:space="preserve"> </w:t>
              </w:r>
              <w:r w:rsidR="0079403A">
                <w:t xml:space="preserve">έκδοση </w:t>
              </w:r>
              <w:r w:rsidR="0079403A" w:rsidRPr="0079403A">
                <w:t xml:space="preserve">του </w:t>
              </w:r>
              <w:r w:rsidR="000E11E1">
                <w:t xml:space="preserve">αναφερόμενου </w:t>
              </w:r>
              <w:r w:rsidR="0079403A" w:rsidRPr="0079403A">
                <w:t>στο</w:t>
              </w:r>
              <w:r w:rsidR="00262FF6">
                <w:t xml:space="preserve">υ </w:t>
              </w:r>
              <w:hyperlink r:id="rId10" w:history="1">
                <w:r w:rsidR="0079403A" w:rsidRPr="0079403A">
                  <w:t>άρθρο 24</w:t>
                </w:r>
              </w:hyperlink>
              <w:r w:rsidR="0079403A" w:rsidRPr="0079403A">
                <w:t> </w:t>
              </w:r>
              <w:r w:rsidR="005230F4">
                <w:t xml:space="preserve"> </w:t>
              </w:r>
              <w:r w:rsidR="0079403A" w:rsidRPr="0079403A">
                <w:t>του ν. </w:t>
              </w:r>
              <w:hyperlink r:id="rId11" w:tgtFrame="_blank" w:history="1">
                <w:r w:rsidR="0079403A" w:rsidRPr="0079403A">
                  <w:t>4443/2016</w:t>
                </w:r>
              </w:hyperlink>
              <w:r w:rsidR="0079403A" w:rsidRPr="0079403A">
                <w:t xml:space="preserve"> προεδρικού διατάγματος </w:t>
              </w:r>
              <w:r w:rsidR="00FE15FC" w:rsidRPr="00FE15FC">
                <w:t xml:space="preserve">θα λάβει χώρα </w:t>
              </w:r>
              <w:r w:rsidR="00FE15FC" w:rsidRPr="00EC76C7">
                <w:rPr>
                  <w:i/>
                  <w:iCs/>
                </w:rPr>
                <w:t>«</w:t>
              </w:r>
              <w:r w:rsidR="0079403A" w:rsidRPr="00EC76C7">
                <w:rPr>
                  <w:i/>
                  <w:iCs/>
                </w:rPr>
                <w:t>το αργότερο εντός δώδεκα (12) μηνών από την έναρξη ισχύος»</w:t>
              </w:r>
              <w:r w:rsidR="00FE15FC" w:rsidRPr="00FE15FC">
                <w:t xml:space="preserve"> του ν.4488/2017</w:t>
              </w:r>
              <w:r w:rsidR="0079403A" w:rsidRPr="0079403A">
                <w:rPr>
                  <w:i/>
                  <w:iCs/>
                </w:rPr>
                <w:t>.</w:t>
              </w:r>
              <w:r w:rsidR="00C5709F">
                <w:rPr>
                  <w:i/>
                  <w:iCs/>
                </w:rPr>
                <w:t xml:space="preserve"> </w:t>
              </w:r>
              <w:r w:rsidR="00C5709F" w:rsidRPr="00C5709F">
                <w:t>Ωστόσο από τότε</w:t>
              </w:r>
              <w:r w:rsidR="00C5709F">
                <w:t xml:space="preserve"> </w:t>
              </w:r>
              <w:r w:rsidR="00C5709F" w:rsidRPr="00C5709F">
                <w:t xml:space="preserve"> μέχρι σήμερα έχουν περάσει πάνω από </w:t>
              </w:r>
              <w:r w:rsidR="00C5709F">
                <w:t xml:space="preserve">4 </w:t>
              </w:r>
              <w:r w:rsidR="00C5709F" w:rsidRPr="00C5709F">
                <w:t>χρόνια</w:t>
              </w:r>
              <w:r w:rsidR="00FD0B54">
                <w:t xml:space="preserve"> και η έκδοση του Προεδρικού Διατάγματος εξακολουθεί να εκκρεμεί. </w:t>
              </w:r>
              <w:r w:rsidR="00262FF6">
                <w:t xml:space="preserve"> </w:t>
              </w:r>
              <w:r w:rsidR="00FD0B54">
                <w:t xml:space="preserve">Μάλιστα </w:t>
              </w:r>
              <w:r w:rsidR="00262FF6">
                <w:t xml:space="preserve">για την καθυστέρηση αυτή εξέφρασε </w:t>
              </w:r>
              <w:r w:rsidR="000E11E1">
                <w:t xml:space="preserve">την ανησυχία της </w:t>
              </w:r>
              <w:r w:rsidR="00FE15FC">
                <w:t xml:space="preserve">(παρ. 7γ) </w:t>
              </w:r>
              <w:r w:rsidR="00FD0B54">
                <w:t xml:space="preserve">και </w:t>
              </w:r>
              <w:r w:rsidR="00C5709F">
                <w:t>η Επιτροπή των Ηνωμένων Εθνών για τα Δικαιώματα των Ατόμων με Αναπηρίες</w:t>
              </w:r>
              <w:r w:rsidR="00FD0B54">
                <w:t xml:space="preserve"> </w:t>
              </w:r>
              <w:r w:rsidR="00262FF6">
                <w:t xml:space="preserve">μέσω των Τελικών Παρατηρήσεων και Συστάσεων της </w:t>
              </w:r>
              <w:r w:rsidR="00C5709F">
                <w:t>προς την Ελλάδα</w:t>
              </w:r>
              <w:r w:rsidR="00262FF6">
                <w:rPr>
                  <w:rStyle w:val="af9"/>
                </w:rPr>
                <w:footnoteReference w:id="1"/>
              </w:r>
              <w:r w:rsidR="003C2730">
                <w:t xml:space="preserve">, οι οποίες δημοσιεύτηκαν </w:t>
              </w:r>
              <w:r w:rsidR="00FD0B54">
                <w:t>τον Οκτώβριο του 2019</w:t>
              </w:r>
              <w:r w:rsidR="00262FF6">
                <w:t xml:space="preserve">, </w:t>
              </w:r>
              <w:r w:rsidR="000E11E1">
                <w:t xml:space="preserve">προτείνοντας τη θέσπιση της δευτερογενούς </w:t>
              </w:r>
              <w:r w:rsidR="00FD0B54" w:rsidRPr="00FD0B54">
                <w:lastRenderedPageBreak/>
                <w:t>νομοθεσία</w:t>
              </w:r>
              <w:r w:rsidR="000E11E1">
                <w:t>ς</w:t>
              </w:r>
              <w:r w:rsidR="00FD0B54" w:rsidRPr="00FD0B54">
                <w:t xml:space="preserve"> που </w:t>
              </w:r>
              <w:r w:rsidR="000E11E1" w:rsidRPr="00262FF6">
                <w:rPr>
                  <w:i/>
                  <w:iCs/>
                </w:rPr>
                <w:t>«</w:t>
              </w:r>
              <w:r w:rsidR="00FD0B54" w:rsidRPr="00262FF6">
                <w:rPr>
                  <w:i/>
                  <w:iCs/>
                </w:rPr>
                <w:t>προβλέπεται στο Άρθρο 74 του νόμου 4488/2017 ώστε να εγγυηθεί την ίση μεταχείριση και να απαγορεύσει τις διακρίσεις κατά των ατόμων με αναπηρία στους τομείς της εκπαίδευσης και της παροχής αγαθών και υπηρεσιών</w:t>
              </w:r>
              <w:r w:rsidR="000E11E1" w:rsidRPr="00262FF6">
                <w:rPr>
                  <w:i/>
                  <w:iCs/>
                </w:rPr>
                <w:t>»</w:t>
              </w:r>
              <w:r w:rsidR="000E11E1">
                <w:t xml:space="preserve"> (παρ. 8γ)</w:t>
              </w:r>
              <w:r w:rsidR="00FD0B54" w:rsidRPr="00FD0B54">
                <w:t>.</w:t>
              </w:r>
            </w:p>
            <w:p w14:paraId="5665FCF5" w14:textId="4C252890" w:rsidR="0080784B" w:rsidRDefault="00FE15FC" w:rsidP="003F4351">
              <w:pPr>
                <w:tabs>
                  <w:tab w:val="left" w:pos="0"/>
                </w:tabs>
                <w:spacing w:after="200" w:line="240" w:lineRule="auto"/>
              </w:pPr>
              <w:r>
                <w:t xml:space="preserve">Η Ε.Σ.Α.μεΑ., λαμβάνοντας υπόψη τη Σύσταση της παρ. 8γ, αλλά και τη δυσκολία και χρονοτριβή που χαρακτηρίζει τη διαδικασία έκδοσης προεδρικού διατάγματος, </w:t>
              </w:r>
              <w:r w:rsidR="009772A7">
                <w:t>πρότεινε</w:t>
              </w:r>
              <w:r w:rsidR="003C2730">
                <w:t xml:space="preserve">, στο πλαίσιο της στενής συνεργασίας που είχε με τον Υπουργό Επικρατείας </w:t>
              </w:r>
              <w:r w:rsidR="00EC76C7">
                <w:t xml:space="preserve">για την </w:t>
              </w:r>
              <w:r>
                <w:t>κατάρτιση του Εθνικού Σχεδίου Δράσης για τα Δικαιώματα των Ατόμων με Αναπηρίες</w:t>
              </w:r>
              <w:r w:rsidR="00BB6179">
                <w:t>,</w:t>
              </w:r>
              <w:r>
                <w:t xml:space="preserve"> να επεκταθεί το εύρος προστασίας της αρχή της ίσης μεταχείρισης σε  όλους τους τομείς της ζωής</w:t>
              </w:r>
              <w:r w:rsidR="00EC76C7">
                <w:t xml:space="preserve"> </w:t>
              </w:r>
              <w:r>
                <w:t xml:space="preserve">μέσω </w:t>
              </w:r>
              <w:r w:rsidR="009772A7">
                <w:t xml:space="preserve">της θέσπισης </w:t>
              </w:r>
              <w:r>
                <w:t xml:space="preserve">διάταξης νόμου. </w:t>
              </w:r>
              <w:r w:rsidR="009772A7">
                <w:t xml:space="preserve">Το αίτημά της για ακόμη μια </w:t>
              </w:r>
              <w:r w:rsidR="000D6A07">
                <w:t xml:space="preserve">φορά </w:t>
              </w:r>
              <w:r w:rsidR="009772A7">
                <w:t xml:space="preserve">δεν έγινε αποδεκτό. </w:t>
              </w:r>
              <w:r w:rsidR="003C2730">
                <w:t>Πάρα ταύτα</w:t>
              </w:r>
              <w:r w:rsidR="0080784B">
                <w:t>:</w:t>
              </w:r>
            </w:p>
            <w:p w14:paraId="54808B8D" w14:textId="27418213" w:rsidR="0080784B" w:rsidRDefault="0080784B" w:rsidP="003F4351">
              <w:pPr>
                <w:tabs>
                  <w:tab w:val="left" w:pos="0"/>
                </w:tabs>
                <w:spacing w:after="200" w:line="240" w:lineRule="auto"/>
              </w:pPr>
              <w:r>
                <w:t xml:space="preserve">α) </w:t>
              </w:r>
              <w:r w:rsidR="003C2730">
                <w:t xml:space="preserve">στην εισαγωγή του Εθνικού Σχεδίου Δράσης για τα Δικαιώματα των Ατόμων με Αναπηρίες </w:t>
              </w:r>
              <w:r w:rsidR="00D20CF9">
                <w:t xml:space="preserve">(ΕΣΔ) </w:t>
              </w:r>
              <w:r w:rsidR="003C2730">
                <w:t xml:space="preserve">(σ. 5) </w:t>
              </w:r>
              <w:r w:rsidR="00D20CF9">
                <w:t xml:space="preserve">αναφέρεται ότι η </w:t>
              </w:r>
              <w:r>
                <w:t>«</w:t>
              </w:r>
              <w:r w:rsidR="003C2730" w:rsidRPr="00EC76C7">
                <w:rPr>
                  <w:i/>
                  <w:iCs/>
                </w:rPr>
                <w:t>απαγόρευση</w:t>
              </w:r>
              <w:r>
                <w:rPr>
                  <w:i/>
                  <w:iCs/>
                </w:rPr>
                <w:t xml:space="preserve"> των</w:t>
              </w:r>
              <w:r w:rsidR="003C2730" w:rsidRPr="00EC76C7">
                <w:rPr>
                  <w:i/>
                  <w:iCs/>
                </w:rPr>
                <w:t xml:space="preserve"> διακρίσεων μόνο στο πεδίο της εργασίας και απασχόλησης (ν. 3304/2005 και 4443/2016) και όχι σε άλλα πεδία, όπως κοινωνική ασφάλιση, υγεία, κοινωνική πρόνοια, φορολογία» </w:t>
              </w:r>
              <w:r w:rsidR="00D20CF9">
                <w:t xml:space="preserve">αποτελεί μια από </w:t>
              </w:r>
              <w:r w:rsidR="001072A4">
                <w:t>τις συστημικές παθογένειες που έχουν διαπιστώσει κατά καιρούς οι διάφοροι φορείς, μεταξύ αυτών και η Ε.Σ.Α.μεΑ.</w:t>
              </w:r>
              <w:r>
                <w:t>,</w:t>
              </w:r>
            </w:p>
            <w:p w14:paraId="5AB8429A" w14:textId="700DF786" w:rsidR="0080784B" w:rsidRDefault="0080784B" w:rsidP="003F4351">
              <w:pPr>
                <w:tabs>
                  <w:tab w:val="left" w:pos="0"/>
                </w:tabs>
                <w:spacing w:after="200" w:line="240" w:lineRule="auto"/>
              </w:pPr>
              <w:r>
                <w:t xml:space="preserve">β) </w:t>
              </w:r>
              <w:r w:rsidR="00D20CF9">
                <w:t xml:space="preserve">στον </w:t>
              </w:r>
              <w:r w:rsidR="00EC76C7">
                <w:t>Στόχο 8 «Ισότητα και μη διάκριση»</w:t>
              </w:r>
              <w:r w:rsidR="00D20CF9">
                <w:t xml:space="preserve"> του ΕΣΔ συμπεριλήφθηκε η παρακάτω δράση</w:t>
              </w:r>
              <w:r>
                <w:t xml:space="preserve">: </w:t>
              </w:r>
            </w:p>
            <w:p w14:paraId="49CD70ED" w14:textId="4BC64806" w:rsidR="0080784B" w:rsidRPr="0080784B" w:rsidRDefault="0080784B" w:rsidP="003F4351">
              <w:pPr>
                <w:tabs>
                  <w:tab w:val="left" w:pos="0"/>
                </w:tabs>
                <w:spacing w:after="0" w:line="240" w:lineRule="auto"/>
                <w:rPr>
                  <w:i/>
                  <w:iCs/>
                </w:rPr>
              </w:pPr>
              <w:r w:rsidRPr="0080784B">
                <w:rPr>
                  <w:i/>
                  <w:iCs/>
                </w:rPr>
                <w:t>«</w:t>
              </w:r>
              <w:r>
                <w:rPr>
                  <w:i/>
                  <w:iCs/>
                </w:rPr>
                <w:t xml:space="preserve">4. </w:t>
              </w:r>
              <w:r w:rsidRPr="0080784B">
                <w:rPr>
                  <w:i/>
                  <w:iCs/>
                </w:rPr>
                <w:t xml:space="preserve">Μελετούμε, για πρώτη φορά, τις συνέπειες της οριζόντιας επέκτασης του εύρους προστασίας της αρχής της ίσης μεταχείρισης σε περιπτώσεις αναπηρίας </w:t>
              </w:r>
            </w:p>
            <w:p w14:paraId="5EAD1ED9" w14:textId="77777777" w:rsidR="0080784B" w:rsidRPr="0080784B" w:rsidRDefault="0080784B" w:rsidP="00315B0D">
              <w:pPr>
                <w:pStyle w:val="a9"/>
                <w:numPr>
                  <w:ilvl w:val="0"/>
                  <w:numId w:val="18"/>
                </w:numPr>
                <w:tabs>
                  <w:tab w:val="left" w:pos="0"/>
                </w:tabs>
                <w:spacing w:after="0" w:line="240" w:lineRule="auto"/>
                <w:ind w:left="360"/>
                <w:rPr>
                  <w:i/>
                  <w:iCs/>
                </w:rPr>
              </w:pPr>
              <w:r w:rsidRPr="0080784B">
                <w:rPr>
                  <w:i/>
                  <w:iCs/>
                </w:rPr>
                <w:t xml:space="preserve">Εξετάζουμε τις συνέπειες της επέκτασης στους τομείς της εκπαίδευσης, της κοινωνικής προστασίας, της παροχής αγαθών και υπηρεσιών (άρθρο 24 του ν. 4443/2016 και άρθρο 74 παρ. 2 του ν. 4488/2017). </w:t>
              </w:r>
            </w:p>
            <w:p w14:paraId="29E41367" w14:textId="77777777" w:rsidR="0080784B" w:rsidRPr="0080784B" w:rsidRDefault="0080784B" w:rsidP="00315B0D">
              <w:pPr>
                <w:pStyle w:val="a9"/>
                <w:numPr>
                  <w:ilvl w:val="0"/>
                  <w:numId w:val="18"/>
                </w:numPr>
                <w:tabs>
                  <w:tab w:val="left" w:pos="0"/>
                </w:tabs>
                <w:spacing w:after="0" w:line="240" w:lineRule="auto"/>
                <w:ind w:left="360"/>
                <w:rPr>
                  <w:i/>
                  <w:iCs/>
                </w:rPr>
              </w:pPr>
              <w:r w:rsidRPr="0080784B">
                <w:rPr>
                  <w:i/>
                  <w:iCs/>
                </w:rPr>
                <w:t xml:space="preserve">Αποτυπώνουμε το όφελος από την επέκταση της εφαρμογής της αρχής της ίσης μεταχείρισης και το μέγεθος του κόστους. </w:t>
              </w:r>
            </w:p>
            <w:p w14:paraId="19FCA946" w14:textId="77777777" w:rsidR="0080784B" w:rsidRPr="0080784B" w:rsidRDefault="0080784B" w:rsidP="00315B0D">
              <w:pPr>
                <w:pStyle w:val="a9"/>
                <w:numPr>
                  <w:ilvl w:val="0"/>
                  <w:numId w:val="18"/>
                </w:numPr>
                <w:tabs>
                  <w:tab w:val="left" w:pos="0"/>
                </w:tabs>
                <w:spacing w:after="0" w:line="240" w:lineRule="auto"/>
                <w:ind w:left="360"/>
                <w:rPr>
                  <w:i/>
                  <w:iCs/>
                </w:rPr>
              </w:pPr>
              <w:r w:rsidRPr="0080784B">
                <w:rPr>
                  <w:i/>
                  <w:iCs/>
                </w:rPr>
                <w:t xml:space="preserve">Συμβάλλουμε στην καταπολέμηση των στερεοτύπων όσων επικαλούνται το κόστος που θα επιφέρει η επέκταση του δικαιώματος, ταυτίζοντας την αναπηρία σχεδόν αποκλειστικά με την κινητική αναπηρία. </w:t>
              </w:r>
            </w:p>
            <w:p w14:paraId="6ADBF736" w14:textId="77777777" w:rsidR="0080784B" w:rsidRPr="0080784B" w:rsidRDefault="0080784B" w:rsidP="00315B0D">
              <w:pPr>
                <w:pStyle w:val="a9"/>
                <w:tabs>
                  <w:tab w:val="left" w:pos="0"/>
                </w:tabs>
                <w:spacing w:after="0" w:line="240" w:lineRule="auto"/>
                <w:ind w:left="360"/>
                <w:rPr>
                  <w:i/>
                  <w:iCs/>
                </w:rPr>
              </w:pPr>
              <w:r w:rsidRPr="0080784B">
                <w:rPr>
                  <w:i/>
                  <w:iCs/>
                </w:rPr>
                <w:t xml:space="preserve">Χρονοδιάγραμμα: Εντός του 2021 </w:t>
              </w:r>
            </w:p>
            <w:p w14:paraId="0B7D5E3B" w14:textId="0AB48730" w:rsidR="0080784B" w:rsidRDefault="0080784B" w:rsidP="00315B0D">
              <w:pPr>
                <w:pStyle w:val="a9"/>
                <w:tabs>
                  <w:tab w:val="left" w:pos="0"/>
                </w:tabs>
                <w:spacing w:after="0" w:line="240" w:lineRule="auto"/>
                <w:ind w:left="360"/>
                <w:rPr>
                  <w:i/>
                  <w:iCs/>
                </w:rPr>
              </w:pPr>
              <w:r w:rsidRPr="0080784B">
                <w:rPr>
                  <w:i/>
                  <w:iCs/>
                </w:rPr>
                <w:t xml:space="preserve">Υπεύθυνος φορέας: Υπουργείο Εργασίας και Κοινωνικών Υποθέσεων» </w:t>
              </w:r>
            </w:p>
            <w:p w14:paraId="4AB2E50C" w14:textId="77777777" w:rsidR="0080784B" w:rsidRPr="0080784B" w:rsidRDefault="0080784B" w:rsidP="003F4351">
              <w:pPr>
                <w:pStyle w:val="a9"/>
                <w:tabs>
                  <w:tab w:val="left" w:pos="0"/>
                </w:tabs>
                <w:spacing w:after="0" w:line="240" w:lineRule="auto"/>
                <w:rPr>
                  <w:i/>
                  <w:iCs/>
                </w:rPr>
              </w:pPr>
            </w:p>
            <w:p w14:paraId="59CB9DD3" w14:textId="63FE21FD" w:rsidR="001072A4" w:rsidRPr="001F40E6" w:rsidRDefault="0080784B" w:rsidP="003F4351">
              <w:pPr>
                <w:tabs>
                  <w:tab w:val="left" w:pos="0"/>
                </w:tabs>
                <w:spacing w:after="200" w:line="240" w:lineRule="auto"/>
                <w:rPr>
                  <w:i/>
                  <w:iCs/>
                </w:rPr>
              </w:pPr>
              <w:r>
                <w:t>Ωστόσο</w:t>
              </w:r>
              <w:r w:rsidR="00BB6179">
                <w:t>,</w:t>
              </w:r>
              <w:r>
                <w:t xml:space="preserve"> </w:t>
              </w:r>
              <w:r w:rsidR="00D20CF9">
                <w:t xml:space="preserve">το γεγονός ότι η εφαρμογή του </w:t>
              </w:r>
              <w:r>
                <w:t xml:space="preserve">αναφαίρετου δικαιώματος </w:t>
              </w:r>
              <w:r w:rsidR="00D20CF9">
                <w:t xml:space="preserve">των ατόμων με αναπηρία </w:t>
              </w:r>
              <w:r>
                <w:t xml:space="preserve">στη μη διάκριση </w:t>
              </w:r>
              <w:r w:rsidR="00D20CF9">
                <w:t>σε όλους τους τομείς</w:t>
              </w:r>
              <w:r w:rsidR="00433BF0">
                <w:t xml:space="preserve"> της</w:t>
              </w:r>
              <w:r w:rsidR="00D20CF9">
                <w:t xml:space="preserve"> ζωής συνδέεται με </w:t>
              </w:r>
              <w:r w:rsidR="00830608">
                <w:t>διαδικασίες οικονομικής αποτίμησης</w:t>
              </w:r>
              <w:r w:rsidR="000D6A07">
                <w:t>,</w:t>
              </w:r>
              <w:r w:rsidR="00830608">
                <w:t xml:space="preserve"> </w:t>
              </w:r>
              <w:r w:rsidR="00D20CF9">
                <w:t>έρχεται σε πλήρη αντίθεση με τη δικαιωματική προσέγγιση της αναπηρίας</w:t>
              </w:r>
              <w:r w:rsidR="00830608">
                <w:t xml:space="preserve">, την οποία η χώρα </w:t>
              </w:r>
              <w:r w:rsidR="00085C9D">
                <w:t xml:space="preserve">μας, σύμφωνα με τον ν.4074/2012,  </w:t>
              </w:r>
              <w:r w:rsidR="00830608">
                <w:t>οφείλει να εφαρμόσει</w:t>
              </w:r>
              <w:r w:rsidR="001F40E6">
                <w:t xml:space="preserve">. </w:t>
              </w:r>
              <w:r w:rsidR="001072A4">
                <w:t>Επιπρόσθετα</w:t>
              </w:r>
              <w:r w:rsidR="009B0D07">
                <w:t>,</w:t>
              </w:r>
              <w:r w:rsidR="001F40E6">
                <w:t xml:space="preserve"> </w:t>
              </w:r>
              <w:r w:rsidR="001072A4">
                <w:t xml:space="preserve">αν και </w:t>
              </w:r>
              <w:r w:rsidR="00830608">
                <w:t xml:space="preserve">η </w:t>
              </w:r>
              <w:r w:rsidR="001F40E6">
                <w:t xml:space="preserve">δράση </w:t>
              </w:r>
              <w:r w:rsidR="00830608">
                <w:t xml:space="preserve">4 </w:t>
              </w:r>
              <w:r w:rsidR="001072A4">
                <w:t xml:space="preserve">αναμενόταν να </w:t>
              </w:r>
              <w:r w:rsidR="001F40E6">
                <w:t xml:space="preserve">πραγματοποιηθεί </w:t>
              </w:r>
              <w:r w:rsidR="001072A4">
                <w:t xml:space="preserve">εντός του 2021, </w:t>
              </w:r>
              <w:r w:rsidR="001F40E6">
                <w:t>ωστόσο μέχρι σήμερα δεν γνωρίζουμε</w:t>
              </w:r>
              <w:r w:rsidR="009B0D07">
                <w:t xml:space="preserve"> εάν έχει</w:t>
              </w:r>
              <w:r w:rsidR="00085C9D">
                <w:t xml:space="preserve"> ολοκληρωθεί</w:t>
              </w:r>
              <w:r w:rsidR="001F40E6">
                <w:t xml:space="preserve">. </w:t>
              </w:r>
            </w:p>
            <w:p w14:paraId="67444014" w14:textId="3F26D4C6" w:rsidR="002B7F19" w:rsidRPr="002B7F19" w:rsidRDefault="002B7F19" w:rsidP="003F4351">
              <w:pPr>
                <w:tabs>
                  <w:tab w:val="left" w:pos="0"/>
                </w:tabs>
                <w:spacing w:after="200" w:line="240" w:lineRule="auto"/>
              </w:pPr>
              <w:r w:rsidRPr="002B7F19">
                <w:t xml:space="preserve">Αξίζει να επισημανθεί ότι σε αντίθεση με το έτος 2005 που θεσπίστηκε ο ν.3304, σήμερα μια σειρά διατάξεων σε διάφορους νόμους και Κανονισμούς -πέραν του συνόλου των άρθρων της Σύμβασης </w:t>
              </w:r>
              <w:r w:rsidR="001F40E6">
                <w:t>των Ηνωμένων Εθνών για</w:t>
              </w:r>
              <w:r w:rsidRPr="002B7F19">
                <w:t xml:space="preserve"> τα Δικαιώματα των Ατόμων με Αναπηρί</w:t>
              </w:r>
              <w:r w:rsidR="001F40E6">
                <w:t>ες</w:t>
              </w:r>
              <w:r w:rsidRPr="002B7F19">
                <w:t xml:space="preserve"> που αφορούν στο σύνολο της κοινωνικής ζωής- </w:t>
              </w:r>
              <w:r w:rsidR="001F40E6">
                <w:t xml:space="preserve">επιβάλλουν </w:t>
              </w:r>
              <w:r w:rsidRPr="002B7F19">
                <w:t xml:space="preserve">την εφαρμογή της αρχής της μη διάκρισης λόγω αναπηρίας σε διάφορους τομείς, </w:t>
              </w:r>
              <w:r w:rsidR="001F40E6">
                <w:t xml:space="preserve">δημιουργώντας </w:t>
              </w:r>
              <w:r w:rsidR="00830608">
                <w:t xml:space="preserve">έτσι </w:t>
              </w:r>
              <w:r w:rsidRPr="002B7F19">
                <w:t xml:space="preserve">ένα ευνοϊκότερο </w:t>
              </w:r>
              <w:r w:rsidR="00830608">
                <w:t xml:space="preserve">περιβάλλον </w:t>
              </w:r>
              <w:r w:rsidRPr="002B7F19">
                <w:t>για την</w:t>
              </w:r>
              <w:r w:rsidR="001F40E6">
                <w:t xml:space="preserve"> ικανοποίηση του </w:t>
              </w:r>
              <w:r w:rsidR="00830608">
                <w:t xml:space="preserve">δίκαιου </w:t>
              </w:r>
              <w:r w:rsidR="001F40E6">
                <w:t>αιτήματός μας</w:t>
              </w:r>
              <w:r w:rsidRPr="002B7F19">
                <w:t xml:space="preserve">. </w:t>
              </w:r>
            </w:p>
            <w:p w14:paraId="405B2C36" w14:textId="77777777" w:rsidR="002B7F19" w:rsidRPr="002B7F19" w:rsidRDefault="002B7F19" w:rsidP="003F4351">
              <w:pPr>
                <w:tabs>
                  <w:tab w:val="left" w:pos="0"/>
                </w:tabs>
                <w:spacing w:after="200" w:line="240" w:lineRule="auto"/>
                <w:rPr>
                  <w:b/>
                  <w:bCs/>
                  <w:color w:val="auto"/>
                  <w:u w:val="single"/>
                </w:rPr>
              </w:pPr>
              <w:r w:rsidRPr="002B7F19">
                <w:rPr>
                  <w:b/>
                  <w:bCs/>
                  <w:color w:val="auto"/>
                  <w:u w:val="single"/>
                </w:rPr>
                <w:lastRenderedPageBreak/>
                <w:t xml:space="preserve">Μερικές από αυτές τις διατάξεις παρουσιάζονται παρακάτω: </w:t>
              </w:r>
            </w:p>
            <w:p w14:paraId="04BBF182" w14:textId="72655502" w:rsidR="002B7F19" w:rsidRDefault="005A26E8" w:rsidP="0090429C">
              <w:pPr>
                <w:pStyle w:val="a9"/>
                <w:numPr>
                  <w:ilvl w:val="0"/>
                  <w:numId w:val="19"/>
                </w:numPr>
                <w:tabs>
                  <w:tab w:val="left" w:pos="426"/>
                </w:tabs>
                <w:spacing w:line="240" w:lineRule="auto"/>
                <w:ind w:left="0" w:firstLine="142"/>
                <w:rPr>
                  <w:rFonts w:cstheme="minorHAnsi"/>
                  <w:color w:val="auto"/>
                </w:rPr>
              </w:pPr>
              <w:r w:rsidRPr="00560778">
                <w:rPr>
                  <w:b/>
                  <w:bCs/>
                  <w:color w:val="auto"/>
                </w:rPr>
                <w:t>Ως προς το Δομημένο Περιβάλλον:</w:t>
              </w:r>
              <w:r w:rsidRPr="00560778">
                <w:rPr>
                  <w:color w:val="auto"/>
                </w:rPr>
                <w:t xml:space="preserve"> </w:t>
              </w:r>
              <w:r w:rsidR="00BB6179" w:rsidRPr="00560778">
                <w:rPr>
                  <w:rFonts w:cstheme="minorHAnsi"/>
                  <w:color w:val="auto"/>
                </w:rPr>
                <w:t xml:space="preserve">η </w:t>
              </w:r>
              <w:r w:rsidR="00ED00C0" w:rsidRPr="00560778">
                <w:rPr>
                  <w:rFonts w:cstheme="minorHAnsi"/>
                  <w:color w:val="auto"/>
                </w:rPr>
                <w:t>εθνική πολεοδομική νομοθεσία για την προσβασιμότητα στο δομημένο περιβάλλον και ειδικότερα το άρθρο 26 του ν.4067/2012 «</w:t>
              </w:r>
              <w:r w:rsidR="00ED00C0" w:rsidRPr="00560778">
                <w:rPr>
                  <w:rFonts w:cstheme="minorHAnsi"/>
                  <w:i/>
                  <w:iCs/>
                  <w:color w:val="auto"/>
                </w:rPr>
                <w:t>Νέος Οικοδομικός κανονισμός»</w:t>
              </w:r>
              <w:r w:rsidR="00ED00C0" w:rsidRPr="00560778">
                <w:rPr>
                  <w:rFonts w:cstheme="minorHAnsi"/>
                  <w:color w:val="auto"/>
                </w:rPr>
                <w:t xml:space="preserve"> όπως τροποποιήθηκε με τους ν.4759/2020 και 4782/2021 και ισχύει σήμερα, την Υ.Α. με αριθμ. ΥΠΕΝ/ ΔΕΣΕΔΠ/ 65826/ 699 (ΦΕΚ Β’ 2998/20.07.2020) </w:t>
              </w:r>
              <w:r w:rsidR="00ED00C0" w:rsidRPr="00560778">
                <w:rPr>
                  <w:rFonts w:cstheme="minorHAnsi"/>
                  <w:i/>
                  <w:iCs/>
                  <w:color w:val="auto"/>
                </w:rPr>
                <w:t>«Τεχνικές οδηγίες προσαρμογής υφιστάμενων κτιρίων και υποδομών για την προσβασιμότητα αυτών σε άτομα με αναπηρία και εμποδιζόμενα άτομα σύμφωνα με την ισχύ-ουσα νομοθεσία»</w:t>
              </w:r>
              <w:r w:rsidR="00ED00C0" w:rsidRPr="00560778">
                <w:rPr>
                  <w:rFonts w:cstheme="minorHAnsi"/>
                  <w:color w:val="auto"/>
                </w:rPr>
                <w:t xml:space="preserve"> και τις λοιπές σχετικές Υ.Α. του Υπουργείου Περιβάλλοντος και Ενέργειας. </w:t>
              </w:r>
            </w:p>
            <w:p w14:paraId="347B2A42" w14:textId="77777777" w:rsidR="00BD0FE4" w:rsidRPr="0090429C" w:rsidRDefault="00BD0FE4" w:rsidP="00BD0FE4">
              <w:pPr>
                <w:pStyle w:val="a9"/>
                <w:tabs>
                  <w:tab w:val="left" w:pos="426"/>
                </w:tabs>
                <w:spacing w:line="240" w:lineRule="auto"/>
                <w:ind w:left="142"/>
                <w:rPr>
                  <w:rFonts w:cstheme="minorHAnsi"/>
                  <w:color w:val="auto"/>
                </w:rPr>
              </w:pPr>
            </w:p>
            <w:p w14:paraId="574B586A" w14:textId="494F822A" w:rsidR="00ED00C0" w:rsidRDefault="005A26E8" w:rsidP="00465AB4">
              <w:pPr>
                <w:pStyle w:val="a9"/>
                <w:numPr>
                  <w:ilvl w:val="0"/>
                  <w:numId w:val="19"/>
                </w:numPr>
                <w:tabs>
                  <w:tab w:val="left" w:pos="142"/>
                </w:tabs>
                <w:spacing w:line="240" w:lineRule="auto"/>
                <w:ind w:left="0" w:firstLine="0"/>
                <w:rPr>
                  <w:rFonts w:cstheme="minorHAnsi"/>
                </w:rPr>
              </w:pPr>
              <w:bookmarkStart w:id="7" w:name="_Hlk116937742"/>
              <w:r w:rsidRPr="00560778">
                <w:rPr>
                  <w:rFonts w:cstheme="minorHAnsi"/>
                  <w:b/>
                  <w:bCs/>
                </w:rPr>
                <w:t xml:space="preserve">Ως προς το Ψηφιακό Περιβάλλον: </w:t>
              </w:r>
              <w:r w:rsidR="00ED00C0" w:rsidRPr="00560778">
                <w:rPr>
                  <w:rFonts w:cstheme="minorHAnsi"/>
                </w:rPr>
                <w:t xml:space="preserve">το Κεφάλαιο Η΄ του ν.4727/2020, με τον οποίο ενσωματώθηκε στην εθνική μας νομοθεσία η Οδηγία (ΕΕ) 2016/2102 για την προσβασιμότητα των ιστότοπων και των εφαρμογών για φορητές συσκευές των οργανισμών του δημόσιου τομέα </w:t>
              </w:r>
              <w:bookmarkEnd w:id="7"/>
              <w:r w:rsidR="00ED00C0" w:rsidRPr="00560778">
                <w:rPr>
                  <w:rFonts w:cstheme="minorHAnsi"/>
                </w:rPr>
                <w:t>και το οποίο θεσπίζει τους κανόνες, όρους, προϋποθέσεις και απαιτήσεις για την κατασκευή, το περιεχόμενο και τη λειτουργία των ιστότοπων και των εφαρμογών για φορητές συσκευές των οργανισμών του δημόσιου τομέα προκειμένου να καταστούν προσβάσιμοι/ες στους χρήστες με αναπηρία, και η ΥΑΠ/Φ.40.4/1/989 «Κύρωση Πλαισίου Παροχής Υπηρεσιών Ηλεκτρονικής Διακυβέρνησης», όπου στο Παράρτημα Ι (στην ενότητα 7 «Προσβασιμότητα», ΚΥ. 49 -Βλ. επίσης ΚΠ.27), στην οποία ορίζεται ότι οι δημόσιοι διαδικτυακοί τόποι πρέπει να συμμορφώνονται με το πρότυπο «Οδηγίες για την Προσβασιμότητα του Περιεχομένου του Ιστού» (WCAG) έκδοση 2.0, επίπεδο προσβασιμότητας τουλάχιστον «ΑΑ», το οποίο αποτελεί το de facto πρότυπο ηλεκτρονικής προσβασιμότητας</w:t>
              </w:r>
              <w:r w:rsidR="00560778">
                <w:rPr>
                  <w:rFonts w:cstheme="minorHAnsi"/>
                </w:rPr>
                <w:t>.</w:t>
              </w:r>
            </w:p>
            <w:p w14:paraId="0A416253" w14:textId="77777777" w:rsidR="00560778" w:rsidRPr="00560778" w:rsidRDefault="00560778" w:rsidP="00560778">
              <w:pPr>
                <w:pStyle w:val="a9"/>
                <w:tabs>
                  <w:tab w:val="left" w:pos="284"/>
                </w:tabs>
                <w:spacing w:line="240" w:lineRule="auto"/>
                <w:ind w:left="0"/>
                <w:rPr>
                  <w:rFonts w:cstheme="minorHAnsi"/>
                </w:rPr>
              </w:pPr>
            </w:p>
            <w:p w14:paraId="79FB7CE8" w14:textId="3FF3CE16" w:rsidR="00560778" w:rsidRPr="00560778" w:rsidRDefault="005A26E8" w:rsidP="00465AB4">
              <w:pPr>
                <w:pStyle w:val="a9"/>
                <w:numPr>
                  <w:ilvl w:val="0"/>
                  <w:numId w:val="19"/>
                </w:numPr>
                <w:tabs>
                  <w:tab w:val="left" w:pos="142"/>
                </w:tabs>
                <w:spacing w:line="240" w:lineRule="auto"/>
                <w:ind w:left="0" w:firstLine="0"/>
                <w:rPr>
                  <w:rFonts w:cstheme="minorHAnsi"/>
                </w:rPr>
              </w:pPr>
              <w:r w:rsidRPr="00560778">
                <w:rPr>
                  <w:rFonts w:cs="Calibri"/>
                  <w:b/>
                  <w:bCs/>
                </w:rPr>
                <w:t>Ως προς τις Μεταφορές</w:t>
              </w:r>
              <w:r w:rsidRPr="00560778">
                <w:rPr>
                  <w:rFonts w:cs="Calibri"/>
                </w:rPr>
                <w:t xml:space="preserve">: </w:t>
              </w:r>
              <w:r w:rsidR="00BB6179" w:rsidRPr="00560778">
                <w:rPr>
                  <w:rFonts w:cs="Calibri"/>
                </w:rPr>
                <w:t>ο</w:t>
              </w:r>
              <w:r w:rsidRPr="00560778">
                <w:rPr>
                  <w:rFonts w:cs="Calibri"/>
                </w:rPr>
                <w:t>ι Κανονισμοί της Ευρωπαϊκή</w:t>
              </w:r>
              <w:r w:rsidR="00BB6179" w:rsidRPr="00560778">
                <w:rPr>
                  <w:rFonts w:cs="Calibri"/>
                </w:rPr>
                <w:t>ς</w:t>
              </w:r>
              <w:r w:rsidRPr="00560778">
                <w:rPr>
                  <w:rFonts w:cs="Calibri"/>
                </w:rPr>
                <w:t xml:space="preserve"> Ένωσης για τα δικαιώματα των επιβατών με αναπηρία σε όλα τα μέσα μεταφοράς</w:t>
              </w:r>
              <w:r w:rsidRPr="00560778">
                <w:rPr>
                  <w:rFonts w:cs="Calibri"/>
                  <w:b/>
                </w:rPr>
                <w:t xml:space="preserve"> </w:t>
              </w:r>
              <w:r w:rsidRPr="00560778">
                <w:rPr>
                  <w:rFonts w:cs="Calibri"/>
                  <w:bCs/>
                </w:rPr>
                <w:t>(βλ. Κανονισμούς ΕΚ 1107/2006</w:t>
              </w:r>
              <w:r w:rsidRPr="005A5B92">
                <w:rPr>
                  <w:rStyle w:val="af9"/>
                  <w:rFonts w:eastAsiaTheme="minorEastAsia" w:cs="Calibri"/>
                  <w:bCs/>
                </w:rPr>
                <w:footnoteReference w:id="2"/>
              </w:r>
              <w:r w:rsidRPr="00560778">
                <w:rPr>
                  <w:rFonts w:cs="Calibri"/>
                  <w:bCs/>
                </w:rPr>
                <w:t>, 1371/2007</w:t>
              </w:r>
              <w:r w:rsidRPr="005A5B92">
                <w:rPr>
                  <w:rStyle w:val="af9"/>
                  <w:rFonts w:eastAsiaTheme="minorEastAsia" w:cs="Calibri"/>
                  <w:bCs/>
                </w:rPr>
                <w:footnoteReference w:id="3"/>
              </w:r>
              <w:r w:rsidRPr="00560778">
                <w:rPr>
                  <w:rFonts w:cs="Calibri"/>
                  <w:bCs/>
                </w:rPr>
                <w:t>, 181/2011</w:t>
              </w:r>
              <w:r w:rsidRPr="005A5B92">
                <w:rPr>
                  <w:rStyle w:val="af9"/>
                  <w:rFonts w:eastAsiaTheme="minorEastAsia" w:cs="Calibri"/>
                  <w:bCs/>
                </w:rPr>
                <w:footnoteReference w:id="4"/>
              </w:r>
              <w:r w:rsidRPr="00560778">
                <w:rPr>
                  <w:rFonts w:cs="Calibri"/>
                  <w:bCs/>
                </w:rPr>
                <w:t>,</w:t>
              </w:r>
              <w:r w:rsidRPr="00560778">
                <w:rPr>
                  <w:rFonts w:cs="Calibri"/>
                  <w:bCs/>
                  <w:color w:val="FF0000"/>
                </w:rPr>
                <w:t xml:space="preserve"> </w:t>
              </w:r>
              <w:r w:rsidRPr="00560778">
                <w:rPr>
                  <w:rFonts w:cs="Calibri"/>
                  <w:bCs/>
                </w:rPr>
                <w:t>1177/2010</w:t>
              </w:r>
              <w:r w:rsidRPr="0052517D">
                <w:rPr>
                  <w:bCs/>
                  <w:vertAlign w:val="superscript"/>
                </w:rPr>
                <w:footnoteReference w:id="5"/>
              </w:r>
              <w:r w:rsidRPr="00560778">
                <w:rPr>
                  <w:rFonts w:cs="Calibri"/>
                  <w:bCs/>
                </w:rPr>
                <w:t>).</w:t>
              </w:r>
            </w:p>
            <w:p w14:paraId="0735FAF0" w14:textId="77777777" w:rsidR="00560778" w:rsidRPr="00560778" w:rsidRDefault="00560778" w:rsidP="00560778">
              <w:pPr>
                <w:pStyle w:val="a9"/>
                <w:tabs>
                  <w:tab w:val="left" w:pos="426"/>
                </w:tabs>
                <w:spacing w:line="240" w:lineRule="auto"/>
                <w:ind w:left="0"/>
                <w:rPr>
                  <w:rFonts w:cstheme="minorHAnsi"/>
                </w:rPr>
              </w:pPr>
            </w:p>
            <w:p w14:paraId="0D4BA6EE" w14:textId="43204DCE" w:rsidR="0090429C" w:rsidRPr="002A68CD" w:rsidRDefault="00BB6179" w:rsidP="00E81FDE">
              <w:pPr>
                <w:pStyle w:val="a9"/>
                <w:numPr>
                  <w:ilvl w:val="0"/>
                  <w:numId w:val="19"/>
                </w:numPr>
                <w:tabs>
                  <w:tab w:val="left" w:pos="142"/>
                </w:tabs>
                <w:spacing w:line="240" w:lineRule="auto"/>
                <w:ind w:left="0" w:firstLine="0"/>
                <w:rPr>
                  <w:rFonts w:cstheme="minorHAnsi"/>
                </w:rPr>
              </w:pPr>
              <w:r w:rsidRPr="00560778">
                <w:rPr>
                  <w:rFonts w:cstheme="minorHAnsi"/>
                  <w:b/>
                  <w:bCs/>
                </w:rPr>
                <w:t>Ως προς τα προϊόντα και τις υπηρεσίες</w:t>
              </w:r>
              <w:r w:rsidRPr="00560778">
                <w:rPr>
                  <w:rFonts w:cstheme="minorHAnsi"/>
                </w:rPr>
                <w:t xml:space="preserve">: ο </w:t>
              </w:r>
              <w:r w:rsidR="00560778">
                <w:rPr>
                  <w:rFonts w:cstheme="minorHAnsi"/>
                </w:rPr>
                <w:t xml:space="preserve">πρόσφατος </w:t>
              </w:r>
              <w:r w:rsidRPr="00560778">
                <w:rPr>
                  <w:rFonts w:cstheme="minorHAnsi"/>
                </w:rPr>
                <w:t>ν.4994/2022</w:t>
              </w:r>
              <w:r w:rsidR="00560778">
                <w:rPr>
                  <w:rFonts w:cstheme="minorHAnsi"/>
                </w:rPr>
                <w:t>,</w:t>
              </w:r>
              <w:r w:rsidRPr="00560778">
                <w:rPr>
                  <w:rFonts w:cstheme="minorHAnsi"/>
                </w:rPr>
                <w:t xml:space="preserve"> με τον οποίο ενσωματώθηκε στην εθνική μας νομοθεσία η</w:t>
              </w:r>
              <w:r w:rsidRPr="00560778">
                <w:rPr>
                  <w:rFonts w:cs="Calibri"/>
                </w:rPr>
                <w:t xml:space="preserve"> </w:t>
              </w:r>
              <w:r w:rsidRPr="00560778">
                <w:rPr>
                  <w:rFonts w:cs="Calibri"/>
                  <w:i/>
                </w:rPr>
                <w:t>«Οδηγία (EE) 2019/882 του Ευρωπαϊκού Κοινοβουλίου και του Συμβουλίου, της 17ης Απριλίου 2019, σχετικά με τις απαιτήσεις προσβασιμότητας προϊόντων και υπηρεσιών»</w:t>
              </w:r>
              <w:r w:rsidRPr="00560778">
                <w:rPr>
                  <w:rFonts w:cs="Calibri"/>
                </w:rPr>
                <w:t>.</w:t>
              </w:r>
            </w:p>
            <w:p w14:paraId="4955B2A6" w14:textId="77777777" w:rsidR="002A68CD" w:rsidRPr="0090429C" w:rsidRDefault="002A68CD" w:rsidP="002A68CD">
              <w:pPr>
                <w:pStyle w:val="a9"/>
                <w:tabs>
                  <w:tab w:val="left" w:pos="142"/>
                </w:tabs>
                <w:spacing w:line="240" w:lineRule="auto"/>
                <w:ind w:left="0"/>
                <w:rPr>
                  <w:rFonts w:cstheme="minorHAnsi"/>
                </w:rPr>
              </w:pPr>
            </w:p>
            <w:p w14:paraId="24224E2B" w14:textId="74A3B8B6" w:rsidR="00ED00C0" w:rsidRPr="0090429C" w:rsidRDefault="00BB6179" w:rsidP="00E81FDE">
              <w:pPr>
                <w:pStyle w:val="a9"/>
                <w:numPr>
                  <w:ilvl w:val="0"/>
                  <w:numId w:val="19"/>
                </w:numPr>
                <w:tabs>
                  <w:tab w:val="left" w:pos="142"/>
                </w:tabs>
                <w:spacing w:line="240" w:lineRule="auto"/>
                <w:ind w:left="0" w:firstLine="0"/>
                <w:rPr>
                  <w:rFonts w:cstheme="minorHAnsi"/>
                </w:rPr>
              </w:pPr>
              <w:r w:rsidRPr="0090429C">
                <w:rPr>
                  <w:rFonts w:cstheme="minorHAnsi"/>
                  <w:b/>
                  <w:bCs/>
                </w:rPr>
                <w:t xml:space="preserve">Ως προς </w:t>
              </w:r>
              <w:r w:rsidR="00884190" w:rsidRPr="0090429C">
                <w:rPr>
                  <w:rFonts w:cstheme="minorHAnsi"/>
                  <w:b/>
                  <w:bCs/>
                </w:rPr>
                <w:t xml:space="preserve">τις πράξεις </w:t>
              </w:r>
              <w:r w:rsidR="00E210BC" w:rsidRPr="0090429C">
                <w:rPr>
                  <w:rFonts w:cstheme="minorHAnsi"/>
                  <w:b/>
                  <w:bCs/>
                </w:rPr>
                <w:t>που συγχρηματοδοτούνται από τα Ευρωπαϊκά Διαρθρωτικά και Επενδυτικά Ταμεία</w:t>
              </w:r>
              <w:r w:rsidRPr="0090429C">
                <w:rPr>
                  <w:rFonts w:cstheme="minorHAnsi"/>
                  <w:b/>
                  <w:bCs/>
                </w:rPr>
                <w:t xml:space="preserve">: </w:t>
              </w:r>
              <w:r w:rsidR="00E210BC" w:rsidRPr="0090429C">
                <w:rPr>
                  <w:rFonts w:cstheme="minorHAnsi"/>
                </w:rPr>
                <w:t>στο</w:t>
              </w:r>
              <w:r w:rsidR="0090429C">
                <w:rPr>
                  <w:rFonts w:cstheme="minorHAnsi"/>
                </w:rPr>
                <w:t>ν</w:t>
              </w:r>
              <w:r w:rsidR="00E210BC" w:rsidRPr="0090429C">
                <w:rPr>
                  <w:rFonts w:cstheme="minorHAnsi"/>
                </w:rPr>
                <w:t xml:space="preserve"> </w:t>
              </w:r>
              <w:r w:rsidR="00ED00C0" w:rsidRPr="0090429C">
                <w:rPr>
                  <w:rFonts w:cstheme="minorHAnsi"/>
                </w:rPr>
                <w:t>Κανονισμ</w:t>
              </w:r>
              <w:r w:rsidR="000D6A07">
                <w:rPr>
                  <w:rFonts w:cstheme="minorHAnsi"/>
                </w:rPr>
                <w:t>ό</w:t>
              </w:r>
              <w:r w:rsidR="00ED00C0" w:rsidRPr="0090429C">
                <w:rPr>
                  <w:rFonts w:cstheme="minorHAnsi"/>
                </w:rPr>
                <w:t xml:space="preserve"> (ΕΕ) 2021/1060 </w:t>
              </w:r>
              <w:r w:rsidR="00E210BC" w:rsidRPr="0090429C">
                <w:rPr>
                  <w:rFonts w:cstheme="minorHAnsi"/>
                </w:rPr>
                <w:t xml:space="preserve">του Ευρωπαϊκού Κοινοβουλίου και του Συμβουλίου </w:t>
              </w:r>
              <w:r w:rsidR="00ED00C0" w:rsidRPr="0090429C">
                <w:rPr>
                  <w:rFonts w:cstheme="minorHAnsi"/>
                </w:rPr>
                <w:t>(Κανονιστικό Πλαίσιο Ευρωπαϊκών Διαρθρωτικών και Επενδυτικών Ταμείων για την προγραμματική περίοδο 2021 – 2027)</w:t>
              </w:r>
              <w:r w:rsidR="00E210BC" w:rsidRPr="0090429C">
                <w:rPr>
                  <w:rFonts w:cstheme="minorHAnsi"/>
                </w:rPr>
                <w:t xml:space="preserve"> η αρχή της μη διάκρισης λόγω αναπηρίας και η προσβασιμότητα </w:t>
              </w:r>
              <w:r w:rsidR="0090429C">
                <w:rPr>
                  <w:rFonts w:cstheme="minorHAnsi"/>
                </w:rPr>
                <w:t xml:space="preserve">αποτελούν </w:t>
              </w:r>
              <w:r w:rsidR="00E210BC" w:rsidRPr="0090429C">
                <w:rPr>
                  <w:rFonts w:cstheme="minorHAnsi"/>
                </w:rPr>
                <w:t xml:space="preserve">κριτήρια επιλεξιμότητας (βλ. άρθρα 9 και 73). </w:t>
              </w:r>
              <w:r w:rsidR="00560778" w:rsidRPr="0090429C">
                <w:rPr>
                  <w:rFonts w:cstheme="minorHAnsi"/>
                </w:rPr>
                <w:t>Πέραν όμως αυτού</w:t>
              </w:r>
              <w:r w:rsidR="0090429C">
                <w:rPr>
                  <w:rFonts w:cstheme="minorHAnsi"/>
                </w:rPr>
                <w:t xml:space="preserve"> </w:t>
              </w:r>
              <w:r w:rsidR="00560778" w:rsidRPr="0090429C">
                <w:rPr>
                  <w:rFonts w:cstheme="minorHAnsi"/>
                </w:rPr>
                <w:t xml:space="preserve">στον </w:t>
              </w:r>
              <w:r w:rsidR="0090429C">
                <w:rPr>
                  <w:rFonts w:cstheme="minorHAnsi"/>
                </w:rPr>
                <w:t xml:space="preserve">εν λόγω </w:t>
              </w:r>
              <w:r w:rsidR="00560778" w:rsidRPr="0090429C">
                <w:rPr>
                  <w:rFonts w:cstheme="minorHAnsi"/>
                </w:rPr>
                <w:t xml:space="preserve">Κανονισμό περιλαμβάνονται και </w:t>
              </w:r>
              <w:r w:rsidR="0090429C">
                <w:rPr>
                  <w:rFonts w:cstheme="minorHAnsi"/>
                </w:rPr>
                <w:lastRenderedPageBreak/>
                <w:t xml:space="preserve">παρακάτω </w:t>
              </w:r>
              <w:r w:rsidR="00560778" w:rsidRPr="0090429C">
                <w:rPr>
                  <w:rFonts w:cstheme="minorHAnsi"/>
                </w:rPr>
                <w:t xml:space="preserve">δύο οριζόντιοι αναγκαίοι πρόσφοροι όροι που συνδέονται με το ζήτημα της μη διάκρισης λόγω αναπηρίας: </w:t>
              </w:r>
              <w:r w:rsidR="00E210BC" w:rsidRPr="0090429C">
                <w:rPr>
                  <w:rFonts w:cstheme="minorHAnsi"/>
                </w:rPr>
                <w:t>α) «Αποτελεσματική εφαρμογή και υλοποίηση του Χάρτη Θεμελιωδών Δικαιωμάτων» και β) «Υλοποίηση και εφαρμογή της Σύμβασης των Ηνωμένων Εθνών για τα δικαιώματα των ατόμων με αναπηρίες (UNCRPD) σύμφωνα με την απόφαση 2010/48/ΕΚ του Συμβουλίου»</w:t>
              </w:r>
              <w:r w:rsidR="0090429C">
                <w:rPr>
                  <w:rFonts w:cstheme="minorHAnsi"/>
                </w:rPr>
                <w:t xml:space="preserve">. </w:t>
              </w:r>
              <w:r w:rsidR="00E210BC" w:rsidRPr="0090429C">
                <w:rPr>
                  <w:rFonts w:cstheme="minorHAnsi"/>
                </w:rPr>
                <w:t xml:space="preserve"> </w:t>
              </w:r>
            </w:p>
            <w:p w14:paraId="7E60F810" w14:textId="672A826B" w:rsidR="0090429C" w:rsidRPr="0077315A" w:rsidRDefault="0090429C" w:rsidP="002B7F19">
              <w:pPr>
                <w:spacing w:line="240" w:lineRule="auto"/>
                <w:rPr>
                  <w:b/>
                  <w:color w:val="auto"/>
                </w:rPr>
              </w:pPr>
              <w:r w:rsidRPr="0077315A">
                <w:rPr>
                  <w:b/>
                  <w:color w:val="auto"/>
                </w:rPr>
                <w:t xml:space="preserve">Κύριε Υπουργέ, </w:t>
              </w:r>
            </w:p>
            <w:p w14:paraId="5241DF37" w14:textId="635D6209" w:rsidR="00824BAC" w:rsidRPr="002A68CD" w:rsidRDefault="004A4633" w:rsidP="002B7F19">
              <w:pPr>
                <w:spacing w:line="240" w:lineRule="auto"/>
                <w:rPr>
                  <w:b/>
                  <w:color w:val="auto"/>
                </w:rPr>
              </w:pPr>
              <w:r w:rsidRPr="002A68CD">
                <w:rPr>
                  <w:b/>
                  <w:color w:val="auto"/>
                </w:rPr>
                <w:t>Ήρθε η ώρα να δώσετε λύση, προχωρώντας στην κατάρτιση</w:t>
              </w:r>
              <w:r w:rsidR="00824BAC" w:rsidRPr="002A68CD">
                <w:rPr>
                  <w:b/>
                  <w:color w:val="auto"/>
                </w:rPr>
                <w:t xml:space="preserve"> και θέσπιση</w:t>
              </w:r>
              <w:r w:rsidRPr="002A68CD">
                <w:rPr>
                  <w:b/>
                  <w:color w:val="auto"/>
                </w:rPr>
                <w:t>, σε στενή συνεργασία με την Ε.Σ.Α.μεΑ., όπως άλλωστε έχουμε πράξει επιτυχώς και σε άλλους τομείς, νομοθεσίας</w:t>
              </w:r>
              <w:r w:rsidR="00824BAC" w:rsidRPr="002A68CD">
                <w:rPr>
                  <w:b/>
                  <w:color w:val="auto"/>
                </w:rPr>
                <w:t xml:space="preserve">, πλήρως εναρμονισμένης με τη Σύμβαση των Ηνωμένων Εθνών για τα Δικαιώματα των Ατόμων με </w:t>
              </w:r>
              <w:r w:rsidRPr="002A68CD">
                <w:rPr>
                  <w:b/>
                  <w:color w:val="auto"/>
                </w:rPr>
                <w:t xml:space="preserve"> </w:t>
              </w:r>
              <w:r w:rsidR="00824BAC" w:rsidRPr="002A68CD">
                <w:rPr>
                  <w:b/>
                  <w:color w:val="auto"/>
                </w:rPr>
                <w:t xml:space="preserve">Αναπηρίες, </w:t>
              </w:r>
              <w:r w:rsidR="0027326D">
                <w:rPr>
                  <w:b/>
                  <w:color w:val="auto"/>
                </w:rPr>
                <w:t>με την οποία η αρχής της μη διάκρισης λόγω αναπηρίας ή χρόνιας πάθησης θα επεκτείνεται σε όλους τους τομείς</w:t>
              </w:r>
              <w:r w:rsidR="00433BF0">
                <w:rPr>
                  <w:b/>
                  <w:color w:val="auto"/>
                </w:rPr>
                <w:t xml:space="preserve"> της</w:t>
              </w:r>
              <w:r w:rsidR="0027326D">
                <w:rPr>
                  <w:b/>
                  <w:color w:val="auto"/>
                </w:rPr>
                <w:t xml:space="preserve"> ζωής. </w:t>
              </w:r>
            </w:p>
            <w:p w14:paraId="74C091A0" w14:textId="663339F8" w:rsidR="00091240" w:rsidRPr="00AD0F5B" w:rsidRDefault="00824BAC" w:rsidP="00AD0F5B">
              <w:pPr>
                <w:spacing w:line="240" w:lineRule="auto"/>
                <w:rPr>
                  <w:rFonts w:cstheme="minorHAnsi"/>
                </w:rPr>
              </w:pPr>
              <w:r>
                <w:rPr>
                  <w:bCs/>
                  <w:color w:val="auto"/>
                </w:rPr>
                <w:t xml:space="preserve">Σας ευχαριστούμε θερμά εκ των προτέρων.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4"/>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109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5109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4"/>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6D8AC29C" w14:textId="5C3AE54E" w:rsidR="00CD362F" w:rsidRDefault="006E447A" w:rsidP="00926DCC">
              <w:pPr>
                <w:pStyle w:val="Bullets0"/>
                <w:numPr>
                  <w:ilvl w:val="0"/>
                  <w:numId w:val="0"/>
                </w:numPr>
                <w:ind w:left="567" w:hanging="295"/>
                <w:rPr>
                  <w:rStyle w:val="BulletsChar"/>
                </w:rPr>
              </w:pPr>
              <w:r>
                <w:rPr>
                  <w:rStyle w:val="BulletsChar"/>
                </w:rPr>
                <w:t xml:space="preserve"> </w:t>
              </w:r>
            </w:p>
            <w:p w14:paraId="0C1124EB" w14:textId="03A65874" w:rsidR="00CD362F" w:rsidRDefault="00CD362F" w:rsidP="003D4D14">
              <w:pPr>
                <w:pStyle w:val="Bullets0"/>
                <w:rPr>
                  <w:rStyle w:val="BulletsChar"/>
                </w:rPr>
              </w:pPr>
              <w:r>
                <w:rPr>
                  <w:rStyle w:val="BulletsChar"/>
                </w:rPr>
                <w:t xml:space="preserve">Κ. Γ. Γεραπετρίτη, Υπουργό Επικρατείας </w:t>
              </w:r>
            </w:p>
            <w:p w14:paraId="634655BF" w14:textId="1F9BF9EA" w:rsidR="002D0AB7" w:rsidRPr="000E2BB8" w:rsidRDefault="00000000" w:rsidP="00CD362F">
              <w:pPr>
                <w:pStyle w:val="Bullets0"/>
                <w:numPr>
                  <w:ilvl w:val="0"/>
                  <w:numId w:val="0"/>
                </w:numPr>
                <w:ind w:left="272"/>
              </w:pP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3E6FC" w14:textId="77777777" w:rsidR="007B29EA" w:rsidRDefault="007B29EA" w:rsidP="00A5663B">
      <w:pPr>
        <w:spacing w:after="0" w:line="240" w:lineRule="auto"/>
      </w:pPr>
      <w:r>
        <w:separator/>
      </w:r>
    </w:p>
    <w:p w14:paraId="40313893" w14:textId="77777777" w:rsidR="007B29EA" w:rsidRDefault="007B29EA"/>
  </w:endnote>
  <w:endnote w:type="continuationSeparator" w:id="0">
    <w:p w14:paraId="27C0613C" w14:textId="77777777" w:rsidR="007B29EA" w:rsidRDefault="007B29EA" w:rsidP="00A5663B">
      <w:pPr>
        <w:spacing w:after="0" w:line="240" w:lineRule="auto"/>
      </w:pPr>
      <w:r>
        <w:continuationSeparator/>
      </w:r>
    </w:p>
    <w:p w14:paraId="1A5EFA1D" w14:textId="77777777" w:rsidR="007B29EA" w:rsidRDefault="007B2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08CB4" w14:textId="77777777" w:rsidR="007B29EA" w:rsidRDefault="007B29EA" w:rsidP="00A5663B">
      <w:pPr>
        <w:spacing w:after="0" w:line="240" w:lineRule="auto"/>
      </w:pPr>
      <w:bookmarkStart w:id="0" w:name="_Hlk484772647"/>
      <w:bookmarkEnd w:id="0"/>
      <w:r>
        <w:separator/>
      </w:r>
    </w:p>
    <w:p w14:paraId="0532A32C" w14:textId="77777777" w:rsidR="007B29EA" w:rsidRDefault="007B29EA"/>
  </w:footnote>
  <w:footnote w:type="continuationSeparator" w:id="0">
    <w:p w14:paraId="5FBB18CD" w14:textId="77777777" w:rsidR="007B29EA" w:rsidRDefault="007B29EA" w:rsidP="00A5663B">
      <w:pPr>
        <w:spacing w:after="0" w:line="240" w:lineRule="auto"/>
      </w:pPr>
      <w:r>
        <w:continuationSeparator/>
      </w:r>
    </w:p>
    <w:p w14:paraId="27B34F1C" w14:textId="77777777" w:rsidR="007B29EA" w:rsidRDefault="007B29EA"/>
  </w:footnote>
  <w:footnote w:id="1">
    <w:p w14:paraId="0141545F" w14:textId="025F545E" w:rsidR="00262FF6" w:rsidRDefault="00262FF6">
      <w:pPr>
        <w:pStyle w:val="af8"/>
      </w:pPr>
      <w:r>
        <w:rPr>
          <w:rStyle w:val="af9"/>
        </w:rPr>
        <w:footnoteRef/>
      </w:r>
      <w:r>
        <w:t xml:space="preserve"> </w:t>
      </w:r>
      <w:hyperlink r:id="rId1" w:history="1">
        <w:r w:rsidRPr="00ED6D43">
          <w:rPr>
            <w:rStyle w:val="-"/>
          </w:rPr>
          <w:t>https://www.esamea.gr/pressoffice/press-releases/4442-i-e-s-a-mea-dimosieyei-tis-telikes-systaseis-tis-epitropis-toy-oie-pros-tin-ellada-gia-ta-dikaiomata-ton-atomon-me-anapiria</w:t>
        </w:r>
      </w:hyperlink>
      <w:r>
        <w:t xml:space="preserve"> </w:t>
      </w:r>
    </w:p>
  </w:footnote>
  <w:footnote w:id="2">
    <w:p w14:paraId="1A3D7424" w14:textId="77777777" w:rsidR="005A26E8" w:rsidRDefault="005A26E8" w:rsidP="005A26E8">
      <w:pPr>
        <w:pStyle w:val="af8"/>
      </w:pPr>
      <w:r>
        <w:rPr>
          <w:rStyle w:val="af9"/>
          <w:rFonts w:eastAsiaTheme="minorEastAsia"/>
        </w:rPr>
        <w:footnoteRef/>
      </w:r>
      <w:r>
        <w:t xml:space="preserve"> </w:t>
      </w:r>
      <w:hyperlink r:id="rId2" w:history="1">
        <w:r w:rsidRPr="006F6B94">
          <w:rPr>
            <w:rStyle w:val="-"/>
          </w:rPr>
          <w:t>https://eur-lex.europa.eu/legal-content/EL/TXT/PDF/?uri=CELEX:32006R1107&amp;from=EL</w:t>
        </w:r>
      </w:hyperlink>
      <w:r>
        <w:t xml:space="preserve"> </w:t>
      </w:r>
    </w:p>
  </w:footnote>
  <w:footnote w:id="3">
    <w:p w14:paraId="429D49E4" w14:textId="77777777" w:rsidR="005A26E8" w:rsidRDefault="005A26E8" w:rsidP="005A26E8">
      <w:pPr>
        <w:pStyle w:val="af8"/>
      </w:pPr>
      <w:r>
        <w:rPr>
          <w:rStyle w:val="af9"/>
          <w:rFonts w:eastAsiaTheme="minorEastAsia"/>
        </w:rPr>
        <w:footnoteRef/>
      </w:r>
      <w:r>
        <w:t xml:space="preserve"> </w:t>
      </w:r>
      <w:hyperlink r:id="rId3" w:history="1">
        <w:r w:rsidRPr="006F6B94">
          <w:rPr>
            <w:rStyle w:val="-"/>
          </w:rPr>
          <w:t>https://eur-lex.europa.eu/legal-content/EL/TXT/PDF/?uri=CELEX:32007R1371&amp;from=el</w:t>
        </w:r>
      </w:hyperlink>
      <w:r>
        <w:t xml:space="preserve"> </w:t>
      </w:r>
    </w:p>
  </w:footnote>
  <w:footnote w:id="4">
    <w:p w14:paraId="27288E3D" w14:textId="77777777" w:rsidR="005A26E8" w:rsidRDefault="005A26E8" w:rsidP="005A26E8">
      <w:pPr>
        <w:pStyle w:val="af8"/>
      </w:pPr>
      <w:r>
        <w:rPr>
          <w:rStyle w:val="af9"/>
          <w:rFonts w:eastAsiaTheme="minorEastAsia"/>
        </w:rPr>
        <w:footnoteRef/>
      </w:r>
      <w:r>
        <w:t xml:space="preserve"> </w:t>
      </w:r>
      <w:hyperlink r:id="rId4" w:history="1">
        <w:r w:rsidRPr="006F6B94">
          <w:rPr>
            <w:rStyle w:val="-"/>
          </w:rPr>
          <w:t>https://eur-lex.europa.eu/LexUriServ/LexUriServ.do?uri=OJ:L:2011:055:0001:0012:EL:PDF</w:t>
        </w:r>
      </w:hyperlink>
      <w:r>
        <w:t xml:space="preserve"> </w:t>
      </w:r>
    </w:p>
  </w:footnote>
  <w:footnote w:id="5">
    <w:p w14:paraId="59E58EE7" w14:textId="77777777" w:rsidR="005A26E8" w:rsidRDefault="005A26E8" w:rsidP="005A26E8">
      <w:pPr>
        <w:pStyle w:val="af8"/>
      </w:pPr>
      <w:r>
        <w:rPr>
          <w:rStyle w:val="af9"/>
          <w:rFonts w:eastAsiaTheme="minorEastAsia"/>
        </w:rPr>
        <w:footnoteRef/>
      </w:r>
      <w:r>
        <w:t xml:space="preserve"> </w:t>
      </w:r>
      <w:hyperlink r:id="rId5" w:history="1">
        <w:r w:rsidRPr="009B4F86">
          <w:rPr>
            <w:rStyle w:val="-"/>
          </w:rPr>
          <w:t>https://www.eccgreece.gr/wp-content/uploads/2015/07/Reg-2010-1177-EL-sea-passenger-rights.pdf</w:t>
        </w:r>
      </w:hyperlink>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9210C"/>
    <w:multiLevelType w:val="hybridMultilevel"/>
    <w:tmpl w:val="292AA8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F8B7E60"/>
    <w:multiLevelType w:val="hybridMultilevel"/>
    <w:tmpl w:val="70723F7C"/>
    <w:lvl w:ilvl="0" w:tplc="04080011">
      <w:start w:val="1"/>
      <w:numFmt w:val="decimal"/>
      <w:lvlText w:val="%1)"/>
      <w:lvlJc w:val="left"/>
      <w:pPr>
        <w:ind w:left="8865"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52EE4CA4"/>
    <w:multiLevelType w:val="hybridMultilevel"/>
    <w:tmpl w:val="4A782C24"/>
    <w:lvl w:ilvl="0" w:tplc="F56E3DFC">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8CC2153"/>
    <w:multiLevelType w:val="hybridMultilevel"/>
    <w:tmpl w:val="B6BCE13A"/>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519780289">
    <w:abstractNumId w:val="10"/>
  </w:num>
  <w:num w:numId="2" w16cid:durableId="299657600">
    <w:abstractNumId w:val="10"/>
  </w:num>
  <w:num w:numId="3" w16cid:durableId="2069108934">
    <w:abstractNumId w:val="10"/>
  </w:num>
  <w:num w:numId="4" w16cid:durableId="972490194">
    <w:abstractNumId w:val="10"/>
  </w:num>
  <w:num w:numId="5" w16cid:durableId="775445353">
    <w:abstractNumId w:val="10"/>
  </w:num>
  <w:num w:numId="6" w16cid:durableId="394402396">
    <w:abstractNumId w:val="10"/>
  </w:num>
  <w:num w:numId="7" w16cid:durableId="451680351">
    <w:abstractNumId w:val="10"/>
  </w:num>
  <w:num w:numId="8" w16cid:durableId="512576911">
    <w:abstractNumId w:val="10"/>
  </w:num>
  <w:num w:numId="9" w16cid:durableId="1008871285">
    <w:abstractNumId w:val="10"/>
  </w:num>
  <w:num w:numId="10" w16cid:durableId="2082024317">
    <w:abstractNumId w:val="9"/>
  </w:num>
  <w:num w:numId="11" w16cid:durableId="1172186401">
    <w:abstractNumId w:val="8"/>
  </w:num>
  <w:num w:numId="12" w16cid:durableId="278145901">
    <w:abstractNumId w:val="4"/>
  </w:num>
  <w:num w:numId="13" w16cid:durableId="1516504767">
    <w:abstractNumId w:val="2"/>
  </w:num>
  <w:num w:numId="14" w16cid:durableId="597568631">
    <w:abstractNumId w:val="0"/>
  </w:num>
  <w:num w:numId="15" w16cid:durableId="225801178">
    <w:abstractNumId w:val="3"/>
  </w:num>
  <w:num w:numId="16" w16cid:durableId="980696792">
    <w:abstractNumId w:val="5"/>
  </w:num>
  <w:num w:numId="17" w16cid:durableId="1142770322">
    <w:abstractNumId w:val="6"/>
  </w:num>
  <w:num w:numId="18" w16cid:durableId="2058774124">
    <w:abstractNumId w:val="1"/>
  </w:num>
  <w:num w:numId="19" w16cid:durableId="15755807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3F15"/>
    <w:rsid w:val="000145EC"/>
    <w:rsid w:val="00016434"/>
    <w:rsid w:val="000165C5"/>
    <w:rsid w:val="000224C1"/>
    <w:rsid w:val="000319B3"/>
    <w:rsid w:val="0003631E"/>
    <w:rsid w:val="00042CAA"/>
    <w:rsid w:val="00071CB7"/>
    <w:rsid w:val="00080A75"/>
    <w:rsid w:val="0008214A"/>
    <w:rsid w:val="00084CAF"/>
    <w:rsid w:val="00085C9D"/>
    <w:rsid w:val="000864B5"/>
    <w:rsid w:val="00087EB9"/>
    <w:rsid w:val="00091240"/>
    <w:rsid w:val="000A5463"/>
    <w:rsid w:val="000C0865"/>
    <w:rsid w:val="000C099E"/>
    <w:rsid w:val="000C14DF"/>
    <w:rsid w:val="000C602B"/>
    <w:rsid w:val="000D34E2"/>
    <w:rsid w:val="000D3D70"/>
    <w:rsid w:val="000D6A07"/>
    <w:rsid w:val="000E11E1"/>
    <w:rsid w:val="000E2BB8"/>
    <w:rsid w:val="000E30A0"/>
    <w:rsid w:val="000E44E8"/>
    <w:rsid w:val="000F237D"/>
    <w:rsid w:val="000F4280"/>
    <w:rsid w:val="00104FD0"/>
    <w:rsid w:val="00106AAC"/>
    <w:rsid w:val="001072A4"/>
    <w:rsid w:val="001213C4"/>
    <w:rsid w:val="0016039E"/>
    <w:rsid w:val="00161A35"/>
    <w:rsid w:val="00162CAE"/>
    <w:rsid w:val="00174D09"/>
    <w:rsid w:val="001A62AD"/>
    <w:rsid w:val="001A67BA"/>
    <w:rsid w:val="001B308E"/>
    <w:rsid w:val="001B3428"/>
    <w:rsid w:val="001B7832"/>
    <w:rsid w:val="001E177F"/>
    <w:rsid w:val="001E439E"/>
    <w:rsid w:val="001F1161"/>
    <w:rsid w:val="001F40E6"/>
    <w:rsid w:val="001F56D2"/>
    <w:rsid w:val="002019A8"/>
    <w:rsid w:val="00204C61"/>
    <w:rsid w:val="002058AF"/>
    <w:rsid w:val="00216BB8"/>
    <w:rsid w:val="002251AF"/>
    <w:rsid w:val="00236123"/>
    <w:rsid w:val="00236A27"/>
    <w:rsid w:val="002444FA"/>
    <w:rsid w:val="002517E6"/>
    <w:rsid w:val="00255DD0"/>
    <w:rsid w:val="002570E4"/>
    <w:rsid w:val="00262FF6"/>
    <w:rsid w:val="002644FD"/>
    <w:rsid w:val="00264E1B"/>
    <w:rsid w:val="0026597B"/>
    <w:rsid w:val="0027326D"/>
    <w:rsid w:val="0027672E"/>
    <w:rsid w:val="002A4595"/>
    <w:rsid w:val="002A68CD"/>
    <w:rsid w:val="002B1225"/>
    <w:rsid w:val="002B43D6"/>
    <w:rsid w:val="002B7F19"/>
    <w:rsid w:val="002C389C"/>
    <w:rsid w:val="002C3EC9"/>
    <w:rsid w:val="002C4134"/>
    <w:rsid w:val="002D09F4"/>
    <w:rsid w:val="002D0AB7"/>
    <w:rsid w:val="002D1046"/>
    <w:rsid w:val="002F3FB0"/>
    <w:rsid w:val="00301E00"/>
    <w:rsid w:val="003071D9"/>
    <w:rsid w:val="0031120B"/>
    <w:rsid w:val="00315B0D"/>
    <w:rsid w:val="00322A0B"/>
    <w:rsid w:val="00326F43"/>
    <w:rsid w:val="0033239D"/>
    <w:rsid w:val="003336F9"/>
    <w:rsid w:val="003364CB"/>
    <w:rsid w:val="00337205"/>
    <w:rsid w:val="0034662F"/>
    <w:rsid w:val="003516EB"/>
    <w:rsid w:val="00353396"/>
    <w:rsid w:val="00361404"/>
    <w:rsid w:val="00371AFA"/>
    <w:rsid w:val="003901E7"/>
    <w:rsid w:val="003956F9"/>
    <w:rsid w:val="003B245B"/>
    <w:rsid w:val="003B3E78"/>
    <w:rsid w:val="003B6AC5"/>
    <w:rsid w:val="003B6D24"/>
    <w:rsid w:val="003C2730"/>
    <w:rsid w:val="003D4D14"/>
    <w:rsid w:val="003D73D0"/>
    <w:rsid w:val="003E38C4"/>
    <w:rsid w:val="003F4351"/>
    <w:rsid w:val="003F789B"/>
    <w:rsid w:val="004102B2"/>
    <w:rsid w:val="00412BB7"/>
    <w:rsid w:val="00413626"/>
    <w:rsid w:val="00415D99"/>
    <w:rsid w:val="00421FA4"/>
    <w:rsid w:val="00427C1E"/>
    <w:rsid w:val="00433BF0"/>
    <w:rsid w:val="004355A3"/>
    <w:rsid w:val="00440C0A"/>
    <w:rsid w:val="004443A9"/>
    <w:rsid w:val="00465AB4"/>
    <w:rsid w:val="00472CFE"/>
    <w:rsid w:val="00483ACE"/>
    <w:rsid w:val="00485058"/>
    <w:rsid w:val="00486A3F"/>
    <w:rsid w:val="004A2EF2"/>
    <w:rsid w:val="004A4633"/>
    <w:rsid w:val="004A6201"/>
    <w:rsid w:val="004D0BE2"/>
    <w:rsid w:val="004D5A2F"/>
    <w:rsid w:val="004E1591"/>
    <w:rsid w:val="00501973"/>
    <w:rsid w:val="005077D6"/>
    <w:rsid w:val="00510963"/>
    <w:rsid w:val="00517354"/>
    <w:rsid w:val="0052064A"/>
    <w:rsid w:val="005230F4"/>
    <w:rsid w:val="00523EAA"/>
    <w:rsid w:val="00540ED2"/>
    <w:rsid w:val="00546528"/>
    <w:rsid w:val="00547D78"/>
    <w:rsid w:val="00554A64"/>
    <w:rsid w:val="00557371"/>
    <w:rsid w:val="00560778"/>
    <w:rsid w:val="00573B0A"/>
    <w:rsid w:val="00580A86"/>
    <w:rsid w:val="0058273F"/>
    <w:rsid w:val="00583700"/>
    <w:rsid w:val="005925BA"/>
    <w:rsid w:val="005956CD"/>
    <w:rsid w:val="005A26E8"/>
    <w:rsid w:val="005A4542"/>
    <w:rsid w:val="005B00C5"/>
    <w:rsid w:val="005B661B"/>
    <w:rsid w:val="005B772B"/>
    <w:rsid w:val="005C27A8"/>
    <w:rsid w:val="005C5A0B"/>
    <w:rsid w:val="005D05EE"/>
    <w:rsid w:val="005D2B1C"/>
    <w:rsid w:val="005D30F3"/>
    <w:rsid w:val="005D44A7"/>
    <w:rsid w:val="005F5A54"/>
    <w:rsid w:val="005F6FCF"/>
    <w:rsid w:val="00610A7E"/>
    <w:rsid w:val="00612214"/>
    <w:rsid w:val="00616622"/>
    <w:rsid w:val="00617AC0"/>
    <w:rsid w:val="0062661D"/>
    <w:rsid w:val="00642AA7"/>
    <w:rsid w:val="00647299"/>
    <w:rsid w:val="00651CD5"/>
    <w:rsid w:val="00655019"/>
    <w:rsid w:val="00666843"/>
    <w:rsid w:val="0066741D"/>
    <w:rsid w:val="00682E02"/>
    <w:rsid w:val="006A785A"/>
    <w:rsid w:val="006B54B2"/>
    <w:rsid w:val="006B6CBE"/>
    <w:rsid w:val="006D0554"/>
    <w:rsid w:val="006E447A"/>
    <w:rsid w:val="006E692F"/>
    <w:rsid w:val="006E6B93"/>
    <w:rsid w:val="006F050F"/>
    <w:rsid w:val="006F68D0"/>
    <w:rsid w:val="0072145A"/>
    <w:rsid w:val="00752538"/>
    <w:rsid w:val="00754C30"/>
    <w:rsid w:val="00763FCD"/>
    <w:rsid w:val="00767D09"/>
    <w:rsid w:val="0077016C"/>
    <w:rsid w:val="0077315A"/>
    <w:rsid w:val="00773EA1"/>
    <w:rsid w:val="0079403A"/>
    <w:rsid w:val="007A781F"/>
    <w:rsid w:val="007B29EA"/>
    <w:rsid w:val="007C256B"/>
    <w:rsid w:val="007E66D9"/>
    <w:rsid w:val="007F77CE"/>
    <w:rsid w:val="0080784B"/>
    <w:rsid w:val="0080787B"/>
    <w:rsid w:val="008104A7"/>
    <w:rsid w:val="00811A9B"/>
    <w:rsid w:val="0081356B"/>
    <w:rsid w:val="00813B53"/>
    <w:rsid w:val="0082394C"/>
    <w:rsid w:val="00824BAC"/>
    <w:rsid w:val="00826413"/>
    <w:rsid w:val="00830608"/>
    <w:rsid w:val="008321C9"/>
    <w:rsid w:val="0083359D"/>
    <w:rsid w:val="00842387"/>
    <w:rsid w:val="00857467"/>
    <w:rsid w:val="00876B17"/>
    <w:rsid w:val="00880266"/>
    <w:rsid w:val="00884190"/>
    <w:rsid w:val="00886205"/>
    <w:rsid w:val="00890E52"/>
    <w:rsid w:val="008960BB"/>
    <w:rsid w:val="008A26A3"/>
    <w:rsid w:val="008A421B"/>
    <w:rsid w:val="008B1A51"/>
    <w:rsid w:val="008B3278"/>
    <w:rsid w:val="008B5B34"/>
    <w:rsid w:val="008D43B9"/>
    <w:rsid w:val="008F4A49"/>
    <w:rsid w:val="0090429C"/>
    <w:rsid w:val="00917763"/>
    <w:rsid w:val="009238F5"/>
    <w:rsid w:val="00926DCC"/>
    <w:rsid w:val="0093332D"/>
    <w:rsid w:val="00936BAC"/>
    <w:rsid w:val="009503E0"/>
    <w:rsid w:val="00953909"/>
    <w:rsid w:val="00972E62"/>
    <w:rsid w:val="0097689B"/>
    <w:rsid w:val="009772A7"/>
    <w:rsid w:val="00980425"/>
    <w:rsid w:val="00991AF1"/>
    <w:rsid w:val="00991CAA"/>
    <w:rsid w:val="00995C38"/>
    <w:rsid w:val="009A03A4"/>
    <w:rsid w:val="009A4192"/>
    <w:rsid w:val="009A4C92"/>
    <w:rsid w:val="009B0D07"/>
    <w:rsid w:val="009B3183"/>
    <w:rsid w:val="009C06F7"/>
    <w:rsid w:val="009C4D45"/>
    <w:rsid w:val="009E6666"/>
    <w:rsid w:val="009E6773"/>
    <w:rsid w:val="00A04D49"/>
    <w:rsid w:val="00A0512E"/>
    <w:rsid w:val="00A05FCF"/>
    <w:rsid w:val="00A1350A"/>
    <w:rsid w:val="00A139B2"/>
    <w:rsid w:val="00A24A4D"/>
    <w:rsid w:val="00A27B77"/>
    <w:rsid w:val="00A32253"/>
    <w:rsid w:val="00A35350"/>
    <w:rsid w:val="00A50D1C"/>
    <w:rsid w:val="00A5663B"/>
    <w:rsid w:val="00A66F36"/>
    <w:rsid w:val="00A8235C"/>
    <w:rsid w:val="00A862B1"/>
    <w:rsid w:val="00A90B3F"/>
    <w:rsid w:val="00AA4605"/>
    <w:rsid w:val="00AB2576"/>
    <w:rsid w:val="00AB53D4"/>
    <w:rsid w:val="00AC0D27"/>
    <w:rsid w:val="00AC34F0"/>
    <w:rsid w:val="00AC766E"/>
    <w:rsid w:val="00AD0F5B"/>
    <w:rsid w:val="00AD13AB"/>
    <w:rsid w:val="00AE7260"/>
    <w:rsid w:val="00AF66C4"/>
    <w:rsid w:val="00AF7DE7"/>
    <w:rsid w:val="00B009D5"/>
    <w:rsid w:val="00B01AB1"/>
    <w:rsid w:val="00B14597"/>
    <w:rsid w:val="00B2034C"/>
    <w:rsid w:val="00B24CE3"/>
    <w:rsid w:val="00B24F28"/>
    <w:rsid w:val="00B25CDE"/>
    <w:rsid w:val="00B30846"/>
    <w:rsid w:val="00B343FA"/>
    <w:rsid w:val="00B4479D"/>
    <w:rsid w:val="00B50ABE"/>
    <w:rsid w:val="00B621B5"/>
    <w:rsid w:val="00B73A9A"/>
    <w:rsid w:val="00B768E4"/>
    <w:rsid w:val="00B908C8"/>
    <w:rsid w:val="00B926D1"/>
    <w:rsid w:val="00B92A91"/>
    <w:rsid w:val="00B977C3"/>
    <w:rsid w:val="00BB6179"/>
    <w:rsid w:val="00BD0FE4"/>
    <w:rsid w:val="00BD105C"/>
    <w:rsid w:val="00BD1F2E"/>
    <w:rsid w:val="00BE04D8"/>
    <w:rsid w:val="00BE20A5"/>
    <w:rsid w:val="00BE52FC"/>
    <w:rsid w:val="00BE6103"/>
    <w:rsid w:val="00BF7928"/>
    <w:rsid w:val="00C0166C"/>
    <w:rsid w:val="00C04B0C"/>
    <w:rsid w:val="00C13744"/>
    <w:rsid w:val="00C2350C"/>
    <w:rsid w:val="00C243A1"/>
    <w:rsid w:val="00C269DA"/>
    <w:rsid w:val="00C31308"/>
    <w:rsid w:val="00C32FBB"/>
    <w:rsid w:val="00C402B5"/>
    <w:rsid w:val="00C4571F"/>
    <w:rsid w:val="00C46534"/>
    <w:rsid w:val="00C553CB"/>
    <w:rsid w:val="00C55583"/>
    <w:rsid w:val="00C55AF8"/>
    <w:rsid w:val="00C5709F"/>
    <w:rsid w:val="00C80445"/>
    <w:rsid w:val="00C82ED9"/>
    <w:rsid w:val="00C83F4F"/>
    <w:rsid w:val="00C864D7"/>
    <w:rsid w:val="00C877A6"/>
    <w:rsid w:val="00C90057"/>
    <w:rsid w:val="00CA1AE3"/>
    <w:rsid w:val="00CA3674"/>
    <w:rsid w:val="00CB29DB"/>
    <w:rsid w:val="00CB6DD1"/>
    <w:rsid w:val="00CC22AC"/>
    <w:rsid w:val="00CC2A1E"/>
    <w:rsid w:val="00CC59F5"/>
    <w:rsid w:val="00CC62E9"/>
    <w:rsid w:val="00CD362F"/>
    <w:rsid w:val="00CD3CE2"/>
    <w:rsid w:val="00CD6D05"/>
    <w:rsid w:val="00CE0328"/>
    <w:rsid w:val="00CE366F"/>
    <w:rsid w:val="00CE5FF4"/>
    <w:rsid w:val="00CF0E8A"/>
    <w:rsid w:val="00D00AC1"/>
    <w:rsid w:val="00D01C51"/>
    <w:rsid w:val="00D11B9D"/>
    <w:rsid w:val="00D13BD7"/>
    <w:rsid w:val="00D14800"/>
    <w:rsid w:val="00D20CF9"/>
    <w:rsid w:val="00D25975"/>
    <w:rsid w:val="00D429F2"/>
    <w:rsid w:val="00D4303F"/>
    <w:rsid w:val="00D43376"/>
    <w:rsid w:val="00D4455A"/>
    <w:rsid w:val="00D7519B"/>
    <w:rsid w:val="00D92411"/>
    <w:rsid w:val="00DA5411"/>
    <w:rsid w:val="00DB0E18"/>
    <w:rsid w:val="00DB2FC8"/>
    <w:rsid w:val="00DC4FCC"/>
    <w:rsid w:val="00DC64B0"/>
    <w:rsid w:val="00DD1D03"/>
    <w:rsid w:val="00DD7797"/>
    <w:rsid w:val="00DE3DAF"/>
    <w:rsid w:val="00DE62F3"/>
    <w:rsid w:val="00DF27F7"/>
    <w:rsid w:val="00DF6284"/>
    <w:rsid w:val="00E018A8"/>
    <w:rsid w:val="00E110CC"/>
    <w:rsid w:val="00E16B7C"/>
    <w:rsid w:val="00E206BA"/>
    <w:rsid w:val="00E210BC"/>
    <w:rsid w:val="00E22772"/>
    <w:rsid w:val="00E357D4"/>
    <w:rsid w:val="00E40395"/>
    <w:rsid w:val="00E429AD"/>
    <w:rsid w:val="00E55813"/>
    <w:rsid w:val="00E63208"/>
    <w:rsid w:val="00E70687"/>
    <w:rsid w:val="00E71701"/>
    <w:rsid w:val="00E72589"/>
    <w:rsid w:val="00E776F1"/>
    <w:rsid w:val="00E81FDE"/>
    <w:rsid w:val="00E922F5"/>
    <w:rsid w:val="00EA2DA6"/>
    <w:rsid w:val="00EB450F"/>
    <w:rsid w:val="00EB715D"/>
    <w:rsid w:val="00EC76C7"/>
    <w:rsid w:val="00ED00C0"/>
    <w:rsid w:val="00EE0F94"/>
    <w:rsid w:val="00EE6171"/>
    <w:rsid w:val="00EE65BD"/>
    <w:rsid w:val="00EF5FB8"/>
    <w:rsid w:val="00EF66B1"/>
    <w:rsid w:val="00F02B8E"/>
    <w:rsid w:val="00F071B9"/>
    <w:rsid w:val="00F21037"/>
    <w:rsid w:val="00F21A91"/>
    <w:rsid w:val="00F21B29"/>
    <w:rsid w:val="00F239E9"/>
    <w:rsid w:val="00F34B13"/>
    <w:rsid w:val="00F42CC8"/>
    <w:rsid w:val="00F64D51"/>
    <w:rsid w:val="00F736BA"/>
    <w:rsid w:val="00F76532"/>
    <w:rsid w:val="00F80309"/>
    <w:rsid w:val="00F80939"/>
    <w:rsid w:val="00F84821"/>
    <w:rsid w:val="00F97D08"/>
    <w:rsid w:val="00FA015E"/>
    <w:rsid w:val="00FA3B69"/>
    <w:rsid w:val="00FA55E7"/>
    <w:rsid w:val="00FB75AA"/>
    <w:rsid w:val="00FC61EC"/>
    <w:rsid w:val="00FC692B"/>
    <w:rsid w:val="00FD0B54"/>
    <w:rsid w:val="00FD21DD"/>
    <w:rsid w:val="00FE15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aliases w:val="Heading A,Γράφημα,Itemize,Bullet21,Bullet22,Bullet23,Bullet211,Bullet24,Bullet25,Bullet26,Bullet27,bl11,Bullet212,Bullet28,bl12,Bullet213,Bullet29,bl13,Bullet214,Bullet210,Bullet215,Liste à puces retrait droite,Bullet List,List1,bl1"/>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aliases w:val="Heading A Char,Γράφημα Char,Itemize Char,Bullet21 Char,Bullet22 Char,Bullet23 Char,Bullet211 Char,Bullet24 Char,Bullet25 Char,Bullet26 Char,Bullet27 Char,bl11 Char,Bullet212 Char,Bullet28 Char,bl12 Char,Bullet213 Char,bl13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nhideWhenUsed/>
    <w:rsid w:val="00510963"/>
    <w:rPr>
      <w:color w:val="0000FF" w:themeColor="hyperlink"/>
      <w:u w:val="single"/>
    </w:rPr>
  </w:style>
  <w:style w:type="paragraph" w:styleId="af8">
    <w:name w:val="footnote text"/>
    <w:aliases w:val="Point 3 Char,Footnote text,ESPON Footnote Text,Schriftart: 9 pt,Schriftart: 10 pt,Schriftart: 8 pt,Κείμενο υποσημείωσης-KATERINA, Char Char Char"/>
    <w:basedOn w:val="a0"/>
    <w:link w:val="Charb"/>
    <w:uiPriority w:val="99"/>
    <w:semiHidden/>
    <w:unhideWhenUsed/>
    <w:rsid w:val="00510963"/>
    <w:pPr>
      <w:spacing w:after="0" w:line="240" w:lineRule="auto"/>
    </w:pPr>
    <w:rPr>
      <w:sz w:val="20"/>
      <w:szCs w:val="20"/>
    </w:rPr>
  </w:style>
  <w:style w:type="character" w:customStyle="1" w:styleId="Charb">
    <w:name w:val="Κείμενο υποσημείωσης Char"/>
    <w:aliases w:val="Point 3 Char Char,Footnote text Char,ESPON Footnote Text Char,Schriftart: 9 pt Char,Schriftart: 10 pt Char,Schriftart: 8 pt Char,Κείμενο υποσημείωσης-KATERINA Char, Char Char Char Char"/>
    <w:basedOn w:val="a1"/>
    <w:link w:val="af8"/>
    <w:uiPriority w:val="99"/>
    <w:semiHidden/>
    <w:rsid w:val="00510963"/>
    <w:rPr>
      <w:rFonts w:ascii="Cambria" w:hAnsi="Cambria"/>
      <w:color w:val="000000"/>
    </w:rPr>
  </w:style>
  <w:style w:type="character" w:styleId="af9">
    <w:name w:val="footnote reference"/>
    <w:aliases w:val="Footnote symbol,Footnote,υποσημείωση1"/>
    <w:basedOn w:val="a1"/>
    <w:uiPriority w:val="99"/>
    <w:semiHidden/>
    <w:unhideWhenUsed/>
    <w:rsid w:val="00510963"/>
    <w:rPr>
      <w:vertAlign w:val="superscript"/>
    </w:rPr>
  </w:style>
  <w:style w:type="character" w:styleId="afa">
    <w:name w:val="Unresolved Mention"/>
    <w:basedOn w:val="a1"/>
    <w:uiPriority w:val="99"/>
    <w:semiHidden/>
    <w:unhideWhenUsed/>
    <w:rsid w:val="00262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535157">
      <w:bodyDiv w:val="1"/>
      <w:marLeft w:val="0"/>
      <w:marRight w:val="0"/>
      <w:marTop w:val="0"/>
      <w:marBottom w:val="0"/>
      <w:divBdr>
        <w:top w:val="none" w:sz="0" w:space="0" w:color="auto"/>
        <w:left w:val="none" w:sz="0" w:space="0" w:color="auto"/>
        <w:bottom w:val="none" w:sz="0" w:space="0" w:color="auto"/>
        <w:right w:val="none" w:sz="0" w:space="0" w:color="auto"/>
      </w:divBdr>
    </w:div>
    <w:div w:id="141605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heaven.gr/laws/law/index/law/791"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taxheaven.gr/laws/view/index/law/4443/year/2016/article/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L/TXT/PDF/?uri=CELEX:32007R1371&amp;from=el" TargetMode="External"/><Relationship Id="rId2" Type="http://schemas.openxmlformats.org/officeDocument/2006/relationships/hyperlink" Target="https://eur-lex.europa.eu/legal-content/EL/TXT/PDF/?uri=CELEX:32006R1107&amp;from=EL" TargetMode="External"/><Relationship Id="rId1" Type="http://schemas.openxmlformats.org/officeDocument/2006/relationships/hyperlink" Target="https://www.esamea.gr/pressoffice/press-releases/4442-i-e-s-a-mea-dimosieyei-tis-telikes-systaseis-tis-epitropis-toy-oie-pros-tin-ellada-gia-ta-dikaiomata-ton-atomon-me-anapiria" TargetMode="External"/><Relationship Id="rId5" Type="http://schemas.openxmlformats.org/officeDocument/2006/relationships/hyperlink" Target="https://www.eccgreece.gr/wp-content/uploads/2015/07/Reg-2010-1177-EL-sea-passenger-rights.pdf" TargetMode="External"/><Relationship Id="rId4" Type="http://schemas.openxmlformats.org/officeDocument/2006/relationships/hyperlink" Target="https://eur-lex.europa.eu/LexUriServ/LexUriServ.do?uri=OJ:L:2011:055:0001:0012:E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637A0" w:rsidRDefault="008F21FC">
          <w:pPr>
            <w:pStyle w:val="5D9BFB90C21748AF8E4FF57AF84DBE6E"/>
          </w:pPr>
          <w:r w:rsidRPr="004D0BE2">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637A0"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637A0"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637A0"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637A0"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637A0"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637A0"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637A0"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637A0"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637A0"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2637A0"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637A0"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637A0"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05587"/>
    <w:rsid w:val="002637A0"/>
    <w:rsid w:val="003F30BB"/>
    <w:rsid w:val="004F0EAF"/>
    <w:rsid w:val="005645CA"/>
    <w:rsid w:val="008F21FC"/>
    <w:rsid w:val="00A756AE"/>
    <w:rsid w:val="00C7125F"/>
    <w:rsid w:val="00D4686D"/>
    <w:rsid w:val="00F63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TotalTime>
  <Pages>6</Pages>
  <Words>2436</Words>
  <Characters>13155</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2017-05-26T15:11:00Z</cp:lastPrinted>
  <dcterms:created xsi:type="dcterms:W3CDTF">2023-01-13T09:36:00Z</dcterms:created>
  <dcterms:modified xsi:type="dcterms:W3CDTF">2023-01-13T09:37:00Z</dcterms:modified>
  <cp:contentStatus/>
  <dc:language>Ελληνικά</dc:language>
  <cp:version>am-20180624</cp:version>
</cp:coreProperties>
</file>