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5.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4939" w:rsidRPr="00EB545E" w:rsidRDefault="00594939" w:rsidP="005C5F90">
      <w:pPr>
        <w:pBdr>
          <w:top w:val="single" w:sz="4" w:space="1" w:color="auto"/>
          <w:left w:val="single" w:sz="4" w:space="4" w:color="auto"/>
          <w:bottom w:val="single" w:sz="4" w:space="0" w:color="auto"/>
          <w:right w:val="single" w:sz="4" w:space="4" w:color="auto"/>
        </w:pBdr>
        <w:shd w:val="clear" w:color="auto" w:fill="C5E0B3"/>
        <w:spacing w:line="276" w:lineRule="auto"/>
        <w:jc w:val="center"/>
        <w:rPr>
          <w:rFonts w:ascii="Times New Roman" w:hAnsi="Times New Roman"/>
          <w:b/>
          <w:bCs/>
          <w:sz w:val="24"/>
          <w:szCs w:val="24"/>
        </w:rPr>
      </w:pPr>
      <w:bookmarkStart w:id="0" w:name="_GoBack"/>
      <w:bookmarkEnd w:id="0"/>
      <w:r w:rsidRPr="00EB545E">
        <w:rPr>
          <w:rFonts w:ascii="Times New Roman" w:hAnsi="Times New Roman"/>
          <w:b/>
          <w:bCs/>
          <w:sz w:val="24"/>
          <w:szCs w:val="24"/>
        </w:rPr>
        <w:t>Ινστιτούτο Δημοκρατίας Κωνσταντίνος Καραμανλής</w:t>
      </w:r>
    </w:p>
    <w:p w:rsidR="00594939" w:rsidRPr="00EB545E" w:rsidRDefault="00594939" w:rsidP="0034600F">
      <w:pPr>
        <w:pBdr>
          <w:top w:val="single" w:sz="4" w:space="1" w:color="auto"/>
          <w:left w:val="single" w:sz="4" w:space="4" w:color="auto"/>
          <w:bottom w:val="single" w:sz="4" w:space="0" w:color="auto"/>
          <w:right w:val="single" w:sz="4" w:space="4" w:color="auto"/>
        </w:pBdr>
        <w:shd w:val="clear" w:color="auto" w:fill="C5E0B3"/>
        <w:spacing w:line="276" w:lineRule="auto"/>
        <w:jc w:val="center"/>
        <w:rPr>
          <w:rFonts w:ascii="Times New Roman" w:hAnsi="Times New Roman"/>
          <w:b/>
          <w:bCs/>
          <w:sz w:val="24"/>
          <w:szCs w:val="24"/>
        </w:rPr>
      </w:pPr>
      <w:r w:rsidRPr="00EB545E">
        <w:rPr>
          <w:rFonts w:ascii="Times New Roman" w:hAnsi="Times New Roman"/>
          <w:b/>
          <w:bCs/>
          <w:sz w:val="24"/>
          <w:szCs w:val="24"/>
        </w:rPr>
        <w:t>«Η μάχη κατά της φτώχειας και του κοινωνικού αποκλεισμού»</w:t>
      </w:r>
    </w:p>
    <w:p w:rsidR="00594939" w:rsidRPr="00EB545E" w:rsidRDefault="00594939" w:rsidP="0034600F">
      <w:pPr>
        <w:pBdr>
          <w:top w:val="single" w:sz="4" w:space="1" w:color="auto"/>
          <w:left w:val="single" w:sz="4" w:space="4" w:color="auto"/>
          <w:bottom w:val="single" w:sz="4" w:space="0" w:color="auto"/>
          <w:right w:val="single" w:sz="4" w:space="4" w:color="auto"/>
        </w:pBdr>
        <w:shd w:val="clear" w:color="auto" w:fill="C5E0B3"/>
        <w:spacing w:line="276" w:lineRule="auto"/>
        <w:jc w:val="center"/>
        <w:rPr>
          <w:rFonts w:ascii="Times New Roman" w:hAnsi="Times New Roman"/>
          <w:b/>
          <w:bCs/>
          <w:sz w:val="24"/>
          <w:szCs w:val="24"/>
        </w:rPr>
      </w:pPr>
      <w:r w:rsidRPr="00EB545E">
        <w:rPr>
          <w:rFonts w:ascii="Times New Roman" w:hAnsi="Times New Roman"/>
          <w:b/>
          <w:bCs/>
          <w:sz w:val="24"/>
          <w:szCs w:val="24"/>
        </w:rPr>
        <w:t>2 Μάϊου 2018</w:t>
      </w:r>
    </w:p>
    <w:p w:rsidR="003D1C79" w:rsidRPr="00EB545E" w:rsidRDefault="003D1C79" w:rsidP="0034600F">
      <w:pPr>
        <w:pBdr>
          <w:top w:val="single" w:sz="4" w:space="1" w:color="auto"/>
          <w:left w:val="single" w:sz="4" w:space="4" w:color="auto"/>
          <w:bottom w:val="single" w:sz="4" w:space="0" w:color="auto"/>
          <w:right w:val="single" w:sz="4" w:space="4" w:color="auto"/>
        </w:pBdr>
        <w:shd w:val="clear" w:color="auto" w:fill="C5E0B3"/>
        <w:spacing w:line="276" w:lineRule="auto"/>
        <w:jc w:val="center"/>
        <w:rPr>
          <w:rFonts w:ascii="Times New Roman" w:hAnsi="Times New Roman"/>
          <w:b/>
          <w:bCs/>
          <w:sz w:val="24"/>
          <w:szCs w:val="24"/>
        </w:rPr>
      </w:pPr>
      <w:r w:rsidRPr="00EB545E">
        <w:rPr>
          <w:rFonts w:ascii="Times New Roman" w:hAnsi="Times New Roman"/>
          <w:b/>
          <w:bCs/>
          <w:sz w:val="24"/>
          <w:szCs w:val="24"/>
        </w:rPr>
        <w:t xml:space="preserve">Εισήγηση Γενικού Γραμματέα Ε.Σ.Α.μεΑ. κ. Γιάννη Λυμβαίου </w:t>
      </w:r>
    </w:p>
    <w:p w:rsidR="00996097" w:rsidRPr="005C5F90" w:rsidRDefault="00996097" w:rsidP="001472C0">
      <w:pPr>
        <w:spacing w:line="276" w:lineRule="auto"/>
        <w:jc w:val="both"/>
        <w:rPr>
          <w:rFonts w:ascii="Times New Roman" w:hAnsi="Times New Roman"/>
          <w:bCs/>
          <w:sz w:val="24"/>
          <w:szCs w:val="24"/>
        </w:rPr>
      </w:pPr>
      <w:r w:rsidRPr="005C5F90">
        <w:rPr>
          <w:rFonts w:ascii="Times New Roman" w:hAnsi="Times New Roman"/>
          <w:bCs/>
          <w:sz w:val="24"/>
          <w:szCs w:val="24"/>
        </w:rPr>
        <w:t xml:space="preserve">Καταρχάς θα ήθελα να ευχαριστήσω θερμά το Ινστιτούτο Δημοκρατίας Κωνσταντίνος Καραμανλής για την πρόσκληση που απηύθυνε στην Εθνική Συνομοσπονδία Ατόμων με Αναπηρία (Ε.Σ.Α.μεΑ.) να συμμετάσχει σε αυτήν την σημαντική εκδήλωση. </w:t>
      </w:r>
    </w:p>
    <w:p w:rsidR="00DA06A1" w:rsidRPr="00EB545E" w:rsidRDefault="008F1F43" w:rsidP="008F1F43">
      <w:pPr>
        <w:spacing w:line="276" w:lineRule="auto"/>
        <w:jc w:val="both"/>
        <w:rPr>
          <w:rFonts w:ascii="Times New Roman" w:hAnsi="Times New Roman"/>
          <w:bCs/>
          <w:sz w:val="24"/>
          <w:szCs w:val="24"/>
        </w:rPr>
      </w:pPr>
      <w:r w:rsidRPr="00EB545E">
        <w:rPr>
          <w:rFonts w:ascii="Times New Roman" w:hAnsi="Times New Roman"/>
          <w:bCs/>
          <w:sz w:val="24"/>
          <w:szCs w:val="24"/>
        </w:rPr>
        <w:t xml:space="preserve">Για </w:t>
      </w:r>
      <w:r w:rsidR="00933A3D" w:rsidRPr="00EB545E">
        <w:rPr>
          <w:rFonts w:ascii="Times New Roman" w:hAnsi="Times New Roman"/>
          <w:bCs/>
          <w:sz w:val="24"/>
          <w:szCs w:val="24"/>
        </w:rPr>
        <w:t xml:space="preserve">το </w:t>
      </w:r>
      <w:r w:rsidR="00824EAB" w:rsidRPr="00EB545E">
        <w:rPr>
          <w:rFonts w:ascii="Times New Roman" w:hAnsi="Times New Roman"/>
          <w:bCs/>
          <w:sz w:val="24"/>
          <w:szCs w:val="24"/>
        </w:rPr>
        <w:t>αναπηρικό κίνημα της χώρας</w:t>
      </w:r>
      <w:r w:rsidR="00933A3D" w:rsidRPr="00EB545E">
        <w:rPr>
          <w:rFonts w:ascii="Times New Roman" w:hAnsi="Times New Roman"/>
          <w:bCs/>
          <w:sz w:val="24"/>
          <w:szCs w:val="24"/>
        </w:rPr>
        <w:t>,</w:t>
      </w:r>
      <w:r w:rsidR="00824EAB" w:rsidRPr="00EB545E">
        <w:rPr>
          <w:rFonts w:ascii="Times New Roman" w:hAnsi="Times New Roman"/>
          <w:bCs/>
          <w:sz w:val="24"/>
          <w:szCs w:val="24"/>
        </w:rPr>
        <w:t xml:space="preserve"> ο κοινωνικός αποκλεισμός των ατόμων με αναπηρία </w:t>
      </w:r>
      <w:r w:rsidR="003D1C79" w:rsidRPr="00EB545E">
        <w:rPr>
          <w:rFonts w:ascii="Times New Roman" w:hAnsi="Times New Roman"/>
          <w:bCs/>
          <w:sz w:val="24"/>
          <w:szCs w:val="24"/>
        </w:rPr>
        <w:t xml:space="preserve">είναι αποτέλεσμα της </w:t>
      </w:r>
      <w:r w:rsidRPr="00EB545E">
        <w:rPr>
          <w:rFonts w:ascii="Times New Roman" w:hAnsi="Times New Roman"/>
          <w:bCs/>
          <w:sz w:val="24"/>
          <w:szCs w:val="24"/>
        </w:rPr>
        <w:t>δι</w:t>
      </w:r>
      <w:r w:rsidR="00A41F05" w:rsidRPr="00EB545E">
        <w:rPr>
          <w:rFonts w:ascii="Times New Roman" w:hAnsi="Times New Roman"/>
          <w:bCs/>
          <w:sz w:val="24"/>
          <w:szCs w:val="24"/>
        </w:rPr>
        <w:t>άκριση</w:t>
      </w:r>
      <w:r w:rsidR="003D1C79" w:rsidRPr="00EB545E">
        <w:rPr>
          <w:rFonts w:ascii="Times New Roman" w:hAnsi="Times New Roman"/>
          <w:bCs/>
          <w:sz w:val="24"/>
          <w:szCs w:val="24"/>
        </w:rPr>
        <w:t>ς</w:t>
      </w:r>
      <w:r w:rsidR="00A41F05" w:rsidRPr="00EB545E">
        <w:rPr>
          <w:rFonts w:ascii="Times New Roman" w:hAnsi="Times New Roman"/>
          <w:bCs/>
          <w:sz w:val="24"/>
          <w:szCs w:val="24"/>
        </w:rPr>
        <w:t xml:space="preserve"> που </w:t>
      </w:r>
      <w:r w:rsidR="002A4F05" w:rsidRPr="00EB545E">
        <w:rPr>
          <w:rFonts w:ascii="Times New Roman" w:hAnsi="Times New Roman"/>
          <w:bCs/>
          <w:sz w:val="24"/>
          <w:szCs w:val="24"/>
        </w:rPr>
        <w:t xml:space="preserve">διαχρονικά </w:t>
      </w:r>
      <w:r w:rsidR="00A41F05" w:rsidRPr="00EB545E">
        <w:rPr>
          <w:rFonts w:ascii="Times New Roman" w:hAnsi="Times New Roman"/>
          <w:bCs/>
          <w:sz w:val="24"/>
          <w:szCs w:val="24"/>
        </w:rPr>
        <w:t xml:space="preserve">αντιμετωπίζουν σε όλους τους τομείς της </w:t>
      </w:r>
      <w:r w:rsidR="00D92A07" w:rsidRPr="00EB545E">
        <w:rPr>
          <w:rFonts w:ascii="Times New Roman" w:hAnsi="Times New Roman"/>
          <w:bCs/>
          <w:sz w:val="24"/>
          <w:szCs w:val="24"/>
        </w:rPr>
        <w:t xml:space="preserve">κοινωνικής </w:t>
      </w:r>
      <w:r w:rsidR="00A41F05" w:rsidRPr="00EB545E">
        <w:rPr>
          <w:rFonts w:ascii="Times New Roman" w:hAnsi="Times New Roman"/>
          <w:bCs/>
          <w:sz w:val="24"/>
          <w:szCs w:val="24"/>
        </w:rPr>
        <w:t>ζωής</w:t>
      </w:r>
      <w:r w:rsidR="00824EAB" w:rsidRPr="00EB545E">
        <w:rPr>
          <w:rFonts w:ascii="Times New Roman" w:hAnsi="Times New Roman"/>
          <w:bCs/>
          <w:sz w:val="24"/>
          <w:szCs w:val="24"/>
        </w:rPr>
        <w:t xml:space="preserve">. Η διάκριση </w:t>
      </w:r>
      <w:r w:rsidR="00A41F05" w:rsidRPr="00EB545E">
        <w:rPr>
          <w:rFonts w:ascii="Times New Roman" w:hAnsi="Times New Roman"/>
          <w:bCs/>
          <w:sz w:val="24"/>
          <w:szCs w:val="24"/>
        </w:rPr>
        <w:t>παίρνει τη μορφή εμποδίων</w:t>
      </w:r>
      <w:r w:rsidR="00824EAB" w:rsidRPr="00EB545E">
        <w:rPr>
          <w:rFonts w:ascii="Times New Roman" w:hAnsi="Times New Roman"/>
          <w:bCs/>
          <w:sz w:val="24"/>
          <w:szCs w:val="24"/>
        </w:rPr>
        <w:t xml:space="preserve">. Τα εμπόδια </w:t>
      </w:r>
      <w:r w:rsidR="003D1C79" w:rsidRPr="00EB545E">
        <w:rPr>
          <w:rFonts w:ascii="Times New Roman" w:hAnsi="Times New Roman"/>
          <w:bCs/>
          <w:sz w:val="24"/>
          <w:szCs w:val="24"/>
        </w:rPr>
        <w:t xml:space="preserve">αυτά </w:t>
      </w:r>
      <w:r w:rsidR="00A41F05" w:rsidRPr="00EB545E">
        <w:rPr>
          <w:rFonts w:ascii="Times New Roman" w:hAnsi="Times New Roman"/>
          <w:bCs/>
          <w:sz w:val="24"/>
          <w:szCs w:val="24"/>
        </w:rPr>
        <w:t xml:space="preserve">μπορεί να είναι θεσμικά, αρχιτεκτονικά, ιδεολογικά και να εντοπίζονται </w:t>
      </w:r>
      <w:r w:rsidR="008B44E8" w:rsidRPr="00EB545E">
        <w:rPr>
          <w:rFonts w:ascii="Times New Roman" w:hAnsi="Times New Roman"/>
          <w:bCs/>
          <w:sz w:val="24"/>
          <w:szCs w:val="24"/>
        </w:rPr>
        <w:t xml:space="preserve">στην υγεία, </w:t>
      </w:r>
      <w:r w:rsidR="00933A3D" w:rsidRPr="00EB545E">
        <w:rPr>
          <w:rFonts w:ascii="Times New Roman" w:hAnsi="Times New Roman"/>
          <w:bCs/>
          <w:sz w:val="24"/>
          <w:szCs w:val="24"/>
        </w:rPr>
        <w:t xml:space="preserve">στην εκπαίδευση, </w:t>
      </w:r>
      <w:r w:rsidR="008B44E8" w:rsidRPr="00EB545E">
        <w:rPr>
          <w:rFonts w:ascii="Times New Roman" w:hAnsi="Times New Roman"/>
          <w:bCs/>
          <w:sz w:val="24"/>
          <w:szCs w:val="24"/>
        </w:rPr>
        <w:t xml:space="preserve">στην εργασία, </w:t>
      </w:r>
      <w:r w:rsidR="00933A3D" w:rsidRPr="00EB545E">
        <w:rPr>
          <w:rFonts w:ascii="Times New Roman" w:hAnsi="Times New Roman"/>
          <w:bCs/>
          <w:sz w:val="24"/>
          <w:szCs w:val="24"/>
        </w:rPr>
        <w:t>στον πολιτισμό, στον αθλητισμό, στις νέες τεχνολογίες</w:t>
      </w:r>
      <w:r w:rsidR="00824EAB" w:rsidRPr="00EB545E">
        <w:rPr>
          <w:rFonts w:ascii="Times New Roman" w:hAnsi="Times New Roman"/>
          <w:bCs/>
          <w:sz w:val="24"/>
          <w:szCs w:val="24"/>
        </w:rPr>
        <w:t>.</w:t>
      </w:r>
    </w:p>
    <w:p w:rsidR="00B66408" w:rsidRDefault="00B66408" w:rsidP="008F1F43">
      <w:pPr>
        <w:spacing w:line="276" w:lineRule="auto"/>
        <w:jc w:val="both"/>
        <w:rPr>
          <w:rFonts w:ascii="Times New Roman" w:hAnsi="Times New Roman"/>
          <w:bCs/>
          <w:sz w:val="24"/>
          <w:szCs w:val="24"/>
        </w:rPr>
      </w:pPr>
      <w:r>
        <w:rPr>
          <w:rFonts w:ascii="Times New Roman" w:hAnsi="Times New Roman"/>
          <w:bCs/>
          <w:sz w:val="24"/>
          <w:szCs w:val="24"/>
          <w:lang w:val="en-US"/>
        </w:rPr>
        <w:t>H</w:t>
      </w:r>
      <w:r w:rsidR="00D92A07" w:rsidRPr="00EB545E">
        <w:rPr>
          <w:rFonts w:ascii="Times New Roman" w:hAnsi="Times New Roman"/>
          <w:bCs/>
          <w:sz w:val="24"/>
          <w:szCs w:val="24"/>
        </w:rPr>
        <w:t xml:space="preserve"> </w:t>
      </w:r>
      <w:r w:rsidR="0024315B" w:rsidRPr="00EB545E">
        <w:rPr>
          <w:rFonts w:ascii="Times New Roman" w:hAnsi="Times New Roman"/>
          <w:bCs/>
          <w:sz w:val="24"/>
          <w:szCs w:val="24"/>
        </w:rPr>
        <w:t xml:space="preserve">μετάβαση από το ιατρικό </w:t>
      </w:r>
      <w:r w:rsidRPr="00EB545E">
        <w:rPr>
          <w:rFonts w:ascii="Times New Roman" w:hAnsi="Times New Roman"/>
          <w:bCs/>
          <w:sz w:val="24"/>
          <w:szCs w:val="24"/>
        </w:rPr>
        <w:t xml:space="preserve">μοντέλο της αναπηρίας </w:t>
      </w:r>
      <w:r w:rsidR="0024315B" w:rsidRPr="00EB545E">
        <w:rPr>
          <w:rFonts w:ascii="Times New Roman" w:hAnsi="Times New Roman"/>
          <w:bCs/>
          <w:sz w:val="24"/>
          <w:szCs w:val="24"/>
        </w:rPr>
        <w:t>(που αντιμετωπίζει τα άτομα με αναπηρία ως ασθενείς) στο κοινωνικό</w:t>
      </w:r>
      <w:r w:rsidR="00DA06A1" w:rsidRPr="00EB545E">
        <w:rPr>
          <w:rFonts w:ascii="Times New Roman" w:hAnsi="Times New Roman"/>
          <w:bCs/>
          <w:sz w:val="24"/>
          <w:szCs w:val="24"/>
        </w:rPr>
        <w:t xml:space="preserve"> και </w:t>
      </w:r>
      <w:r w:rsidR="0024315B" w:rsidRPr="00EB545E">
        <w:rPr>
          <w:rFonts w:ascii="Times New Roman" w:hAnsi="Times New Roman"/>
          <w:bCs/>
          <w:sz w:val="24"/>
          <w:szCs w:val="24"/>
        </w:rPr>
        <w:t xml:space="preserve">δικαιωματικό μοντέλο (που αντιμετωπίζει τα άτομα με αναπηρία ως φορείς δικαιωμάτων), </w:t>
      </w:r>
      <w:r w:rsidR="003D1C79" w:rsidRPr="00EB545E">
        <w:rPr>
          <w:rFonts w:ascii="Times New Roman" w:hAnsi="Times New Roman"/>
          <w:bCs/>
          <w:sz w:val="24"/>
          <w:szCs w:val="24"/>
        </w:rPr>
        <w:t xml:space="preserve">«πήρε σάρκα και οστά» με </w:t>
      </w:r>
      <w:r w:rsidR="002A4F05" w:rsidRPr="00EB545E">
        <w:rPr>
          <w:rFonts w:ascii="Times New Roman" w:hAnsi="Times New Roman"/>
          <w:bCs/>
          <w:sz w:val="24"/>
          <w:szCs w:val="24"/>
        </w:rPr>
        <w:t xml:space="preserve">τη </w:t>
      </w:r>
      <w:r w:rsidR="0024315B" w:rsidRPr="00EB545E">
        <w:rPr>
          <w:rFonts w:ascii="Times New Roman" w:hAnsi="Times New Roman"/>
          <w:bCs/>
          <w:sz w:val="24"/>
          <w:szCs w:val="24"/>
        </w:rPr>
        <w:t>Σύμβαση τ</w:t>
      </w:r>
      <w:r>
        <w:rPr>
          <w:rFonts w:ascii="Times New Roman" w:hAnsi="Times New Roman"/>
          <w:bCs/>
          <w:sz w:val="24"/>
          <w:szCs w:val="24"/>
        </w:rPr>
        <w:t xml:space="preserve">ου ΟΗΕ </w:t>
      </w:r>
      <w:r w:rsidR="0024315B" w:rsidRPr="00EB545E">
        <w:rPr>
          <w:rFonts w:ascii="Times New Roman" w:hAnsi="Times New Roman"/>
          <w:bCs/>
          <w:sz w:val="24"/>
          <w:szCs w:val="24"/>
        </w:rPr>
        <w:t xml:space="preserve">για τα Δικαιώματα των Ατόμων με Αναπηρία, </w:t>
      </w:r>
      <w:r>
        <w:rPr>
          <w:rFonts w:ascii="Times New Roman" w:hAnsi="Times New Roman"/>
          <w:bCs/>
          <w:sz w:val="24"/>
          <w:szCs w:val="24"/>
        </w:rPr>
        <w:t>την οποία η χώρα μας ενέταξε στο νομικό της πολιτισμό το 2012 με τον ν. 4074/2012.</w:t>
      </w:r>
    </w:p>
    <w:p w:rsidR="00C9144C" w:rsidRPr="00EB545E" w:rsidRDefault="00B66408" w:rsidP="008F1F43">
      <w:pPr>
        <w:spacing w:line="276" w:lineRule="auto"/>
        <w:jc w:val="both"/>
        <w:rPr>
          <w:rFonts w:ascii="Times New Roman" w:hAnsi="Times New Roman"/>
          <w:bCs/>
          <w:sz w:val="24"/>
          <w:szCs w:val="24"/>
        </w:rPr>
      </w:pPr>
      <w:r>
        <w:rPr>
          <w:rFonts w:ascii="Times New Roman" w:hAnsi="Times New Roman"/>
          <w:bCs/>
          <w:sz w:val="24"/>
          <w:szCs w:val="24"/>
        </w:rPr>
        <w:t>Η Σύμβαση</w:t>
      </w:r>
      <w:r w:rsidR="00C9144C" w:rsidRPr="00EB545E">
        <w:rPr>
          <w:rFonts w:ascii="Times New Roman" w:hAnsi="Times New Roman"/>
          <w:bCs/>
          <w:sz w:val="24"/>
          <w:szCs w:val="24"/>
        </w:rPr>
        <w:t xml:space="preserve">, </w:t>
      </w:r>
      <w:r w:rsidR="00D92A07" w:rsidRPr="00EB545E">
        <w:rPr>
          <w:rFonts w:ascii="Times New Roman" w:hAnsi="Times New Roman"/>
          <w:bCs/>
          <w:sz w:val="24"/>
          <w:szCs w:val="24"/>
        </w:rPr>
        <w:t xml:space="preserve">επιβάλλει </w:t>
      </w:r>
      <w:r w:rsidR="002A4F05" w:rsidRPr="00EB545E">
        <w:rPr>
          <w:rFonts w:ascii="Times New Roman" w:hAnsi="Times New Roman"/>
          <w:bCs/>
          <w:sz w:val="24"/>
          <w:szCs w:val="24"/>
        </w:rPr>
        <w:t xml:space="preserve">έναν ριζικό </w:t>
      </w:r>
      <w:r w:rsidR="00DA06A1" w:rsidRPr="00EB545E">
        <w:rPr>
          <w:rFonts w:ascii="Times New Roman" w:hAnsi="Times New Roman"/>
          <w:bCs/>
          <w:sz w:val="24"/>
          <w:szCs w:val="24"/>
        </w:rPr>
        <w:t xml:space="preserve">μετασχηματισμό </w:t>
      </w:r>
      <w:r w:rsidR="002A4F05" w:rsidRPr="00EB545E">
        <w:rPr>
          <w:rFonts w:ascii="Times New Roman" w:hAnsi="Times New Roman"/>
          <w:bCs/>
          <w:sz w:val="24"/>
          <w:szCs w:val="24"/>
        </w:rPr>
        <w:t>του υφιστάμενου θεσμικού πλαισ</w:t>
      </w:r>
      <w:r w:rsidR="00D92A07" w:rsidRPr="00EB545E">
        <w:rPr>
          <w:rFonts w:ascii="Times New Roman" w:hAnsi="Times New Roman"/>
          <w:bCs/>
          <w:sz w:val="24"/>
          <w:szCs w:val="24"/>
        </w:rPr>
        <w:t>ίου και των πολιτικών</w:t>
      </w:r>
      <w:r w:rsidR="00DA06A1" w:rsidRPr="00EB545E">
        <w:rPr>
          <w:rFonts w:ascii="Times New Roman" w:hAnsi="Times New Roman"/>
          <w:bCs/>
          <w:sz w:val="24"/>
          <w:szCs w:val="24"/>
        </w:rPr>
        <w:t>,</w:t>
      </w:r>
      <w:r w:rsidR="00D92A07" w:rsidRPr="00EB545E">
        <w:rPr>
          <w:rFonts w:ascii="Times New Roman" w:hAnsi="Times New Roman"/>
          <w:bCs/>
          <w:sz w:val="24"/>
          <w:szCs w:val="24"/>
        </w:rPr>
        <w:t xml:space="preserve"> μέσω του οποίου </w:t>
      </w:r>
      <w:r w:rsidR="005D07C3" w:rsidRPr="00EB545E">
        <w:rPr>
          <w:rFonts w:ascii="Times New Roman" w:hAnsi="Times New Roman"/>
          <w:bCs/>
          <w:sz w:val="24"/>
          <w:szCs w:val="24"/>
        </w:rPr>
        <w:t>δύναται να δημιουργηθούν οι συνθήκες για την πλήρη ένταξη και την ανεμπόδιστη άσκηση των δικαιωμάτων των ατόμων με αναπηρία.</w:t>
      </w:r>
      <w:r w:rsidR="00EB545E" w:rsidRPr="00EB545E">
        <w:rPr>
          <w:rFonts w:ascii="Times New Roman" w:hAnsi="Times New Roman"/>
          <w:bCs/>
          <w:sz w:val="24"/>
          <w:szCs w:val="24"/>
        </w:rPr>
        <w:t xml:space="preserve"> </w:t>
      </w:r>
      <w:r w:rsidR="005D07C3" w:rsidRPr="00EB545E">
        <w:rPr>
          <w:rFonts w:ascii="Times New Roman" w:hAnsi="Times New Roman"/>
          <w:bCs/>
          <w:sz w:val="24"/>
          <w:szCs w:val="24"/>
        </w:rPr>
        <w:t xml:space="preserve">Αυτός ο </w:t>
      </w:r>
      <w:r w:rsidR="00DA06A1" w:rsidRPr="00EB545E">
        <w:rPr>
          <w:rFonts w:ascii="Times New Roman" w:hAnsi="Times New Roman"/>
          <w:bCs/>
          <w:sz w:val="24"/>
          <w:szCs w:val="24"/>
        </w:rPr>
        <w:t xml:space="preserve">μετασχηματισμός </w:t>
      </w:r>
      <w:r w:rsidR="005D07C3" w:rsidRPr="00EB545E">
        <w:rPr>
          <w:rFonts w:ascii="Times New Roman" w:hAnsi="Times New Roman"/>
          <w:bCs/>
          <w:sz w:val="24"/>
          <w:szCs w:val="24"/>
        </w:rPr>
        <w:t>προϋποθέτει την αποτύπωση της κατάστασης που βιώνουν τα άτομα με αναπηρ</w:t>
      </w:r>
      <w:r w:rsidR="00DA06A1" w:rsidRPr="00EB545E">
        <w:rPr>
          <w:rFonts w:ascii="Times New Roman" w:hAnsi="Times New Roman"/>
          <w:bCs/>
          <w:sz w:val="24"/>
          <w:szCs w:val="24"/>
        </w:rPr>
        <w:t xml:space="preserve">ία </w:t>
      </w:r>
      <w:r w:rsidR="005D07C3" w:rsidRPr="00EB545E">
        <w:rPr>
          <w:rFonts w:ascii="Times New Roman" w:hAnsi="Times New Roman"/>
          <w:bCs/>
          <w:sz w:val="24"/>
          <w:szCs w:val="24"/>
        </w:rPr>
        <w:t>μέσω της συλλογής αξιόπιστων εθνικών στατιστικών δεδομένων στη βάση όμως της δικαιωματικής προσέγγισης της αναπηρίας, δηλαδή δίνοντας έμφαση στα εμπόδια που αντιμετωπίζουν</w:t>
      </w:r>
      <w:r w:rsidR="007E42BE" w:rsidRPr="00EB545E">
        <w:rPr>
          <w:rFonts w:ascii="Times New Roman" w:hAnsi="Times New Roman"/>
          <w:bCs/>
          <w:sz w:val="24"/>
          <w:szCs w:val="24"/>
        </w:rPr>
        <w:t xml:space="preserve">, όπως εξάλλου υπαγορεύει </w:t>
      </w:r>
      <w:r>
        <w:rPr>
          <w:rFonts w:ascii="Times New Roman" w:hAnsi="Times New Roman"/>
          <w:bCs/>
          <w:sz w:val="24"/>
          <w:szCs w:val="24"/>
        </w:rPr>
        <w:t xml:space="preserve">και </w:t>
      </w:r>
      <w:r w:rsidR="007E42BE" w:rsidRPr="00EB545E">
        <w:rPr>
          <w:rFonts w:ascii="Times New Roman" w:hAnsi="Times New Roman"/>
          <w:bCs/>
          <w:sz w:val="24"/>
          <w:szCs w:val="24"/>
        </w:rPr>
        <w:t>το άρθρο 31 της Σύμβασης</w:t>
      </w:r>
      <w:r w:rsidR="005D07C3" w:rsidRPr="00EB545E">
        <w:rPr>
          <w:rFonts w:ascii="Times New Roman" w:hAnsi="Times New Roman"/>
          <w:bCs/>
          <w:sz w:val="24"/>
          <w:szCs w:val="24"/>
        </w:rPr>
        <w:t xml:space="preserve">.  </w:t>
      </w:r>
    </w:p>
    <w:p w:rsidR="00C72BE0" w:rsidRDefault="007E42BE" w:rsidP="00886135">
      <w:pPr>
        <w:spacing w:line="276" w:lineRule="auto"/>
        <w:jc w:val="both"/>
        <w:rPr>
          <w:rFonts w:ascii="Times New Roman" w:hAnsi="Times New Roman"/>
          <w:bCs/>
          <w:sz w:val="24"/>
          <w:szCs w:val="24"/>
        </w:rPr>
      </w:pPr>
      <w:r w:rsidRPr="00EB545E">
        <w:rPr>
          <w:rFonts w:ascii="Times New Roman" w:hAnsi="Times New Roman"/>
          <w:bCs/>
          <w:sz w:val="24"/>
          <w:szCs w:val="24"/>
        </w:rPr>
        <w:t>Προς αυτή την κατεύθυνση η Ε.Σ.Α.μεΑ. υλοποιεί έργο με τίτλο «Παρατηρητήριο Θεμάτων Αναπηρίας», το οποίο έχει ενταθεί στο Επιχειρησιακό Πρόγραμμα «Ανάπτυξη Ανθρωπίνου Δυναμικού, Εκπαίδευση και Δια Βίου Μάθηση» 2014 – 2020</w:t>
      </w:r>
      <w:r w:rsidR="00DA06A1" w:rsidRPr="00EB545E">
        <w:rPr>
          <w:rFonts w:ascii="Times New Roman" w:hAnsi="Times New Roman"/>
          <w:bCs/>
          <w:sz w:val="24"/>
          <w:szCs w:val="24"/>
        </w:rPr>
        <w:t>,</w:t>
      </w:r>
      <w:r w:rsidRPr="00EB545E">
        <w:rPr>
          <w:rFonts w:ascii="Times New Roman" w:hAnsi="Times New Roman"/>
          <w:bCs/>
          <w:sz w:val="24"/>
          <w:szCs w:val="24"/>
        </w:rPr>
        <w:t xml:space="preserve"> με αντικείμενο την επιστημονική καταγραφή</w:t>
      </w:r>
      <w:r w:rsidR="004072CE" w:rsidRPr="00EB545E">
        <w:rPr>
          <w:rFonts w:ascii="Times New Roman" w:hAnsi="Times New Roman"/>
          <w:bCs/>
          <w:sz w:val="24"/>
          <w:szCs w:val="24"/>
        </w:rPr>
        <w:t>, μελέτη</w:t>
      </w:r>
      <w:r w:rsidRPr="00EB545E">
        <w:rPr>
          <w:rFonts w:ascii="Times New Roman" w:hAnsi="Times New Roman"/>
          <w:bCs/>
          <w:sz w:val="24"/>
          <w:szCs w:val="24"/>
        </w:rPr>
        <w:t xml:space="preserve">  και παρακολούθηση των πολιτικών για την αναπηρία σε όλους τους τομείς</w:t>
      </w:r>
      <w:r w:rsidR="004072CE" w:rsidRPr="00EB545E">
        <w:rPr>
          <w:rFonts w:ascii="Times New Roman" w:hAnsi="Times New Roman"/>
          <w:bCs/>
          <w:sz w:val="24"/>
          <w:szCs w:val="24"/>
        </w:rPr>
        <w:t>,</w:t>
      </w:r>
      <w:r w:rsidRPr="00EB545E">
        <w:rPr>
          <w:rFonts w:ascii="Times New Roman" w:hAnsi="Times New Roman"/>
          <w:bCs/>
          <w:sz w:val="24"/>
          <w:szCs w:val="24"/>
        </w:rPr>
        <w:t xml:space="preserve"> υπό την οπτική του κοινωνι</w:t>
      </w:r>
      <w:r w:rsidR="00B66408">
        <w:rPr>
          <w:rFonts w:ascii="Times New Roman" w:hAnsi="Times New Roman"/>
          <w:bCs/>
          <w:sz w:val="24"/>
          <w:szCs w:val="24"/>
        </w:rPr>
        <w:t>κού και δικαιωματικού μοντέλου και με τον</w:t>
      </w:r>
      <w:r w:rsidR="00800F5D" w:rsidRPr="00EB545E">
        <w:rPr>
          <w:rFonts w:ascii="Times New Roman" w:hAnsi="Times New Roman"/>
          <w:bCs/>
          <w:sz w:val="24"/>
          <w:szCs w:val="24"/>
        </w:rPr>
        <w:t xml:space="preserve"> ν.4488/2017</w:t>
      </w:r>
      <w:r w:rsidR="00B66408">
        <w:rPr>
          <w:rFonts w:ascii="Times New Roman" w:hAnsi="Times New Roman"/>
          <w:bCs/>
          <w:sz w:val="24"/>
          <w:szCs w:val="24"/>
        </w:rPr>
        <w:t xml:space="preserve"> αποτελεί</w:t>
      </w:r>
      <w:r w:rsidR="00800F5D" w:rsidRPr="00EB545E">
        <w:rPr>
          <w:rFonts w:ascii="Times New Roman" w:hAnsi="Times New Roman"/>
          <w:bCs/>
          <w:sz w:val="24"/>
          <w:szCs w:val="24"/>
        </w:rPr>
        <w:t xml:space="preserve"> τον</w:t>
      </w:r>
      <w:r w:rsidRPr="00EB545E">
        <w:rPr>
          <w:rFonts w:ascii="Times New Roman" w:hAnsi="Times New Roman"/>
          <w:bCs/>
          <w:sz w:val="24"/>
          <w:szCs w:val="24"/>
        </w:rPr>
        <w:t xml:space="preserve"> βασικ</w:t>
      </w:r>
      <w:r w:rsidR="00800F5D" w:rsidRPr="00EB545E">
        <w:rPr>
          <w:rFonts w:ascii="Times New Roman" w:hAnsi="Times New Roman"/>
          <w:bCs/>
          <w:sz w:val="24"/>
          <w:szCs w:val="24"/>
        </w:rPr>
        <w:t>ό</w:t>
      </w:r>
      <w:r w:rsidRPr="00EB545E">
        <w:rPr>
          <w:rFonts w:ascii="Times New Roman" w:hAnsi="Times New Roman"/>
          <w:bCs/>
          <w:sz w:val="24"/>
          <w:szCs w:val="24"/>
        </w:rPr>
        <w:t xml:space="preserve"> </w:t>
      </w:r>
      <w:r w:rsidR="00800F5D" w:rsidRPr="00EB545E">
        <w:rPr>
          <w:rFonts w:ascii="Times New Roman" w:hAnsi="Times New Roman"/>
          <w:bCs/>
          <w:sz w:val="24"/>
          <w:szCs w:val="24"/>
        </w:rPr>
        <w:t>συνομιλητή</w:t>
      </w:r>
      <w:r w:rsidRPr="00EB545E">
        <w:rPr>
          <w:rFonts w:ascii="Times New Roman" w:hAnsi="Times New Roman"/>
          <w:bCs/>
          <w:sz w:val="24"/>
          <w:szCs w:val="24"/>
        </w:rPr>
        <w:t xml:space="preserve"> </w:t>
      </w:r>
      <w:r w:rsidR="004072CE" w:rsidRPr="00EB545E">
        <w:rPr>
          <w:rFonts w:ascii="Times New Roman" w:hAnsi="Times New Roman"/>
          <w:bCs/>
          <w:sz w:val="24"/>
          <w:szCs w:val="24"/>
        </w:rPr>
        <w:t xml:space="preserve">του ελληνικού στατιστικού συστήματος </w:t>
      </w:r>
      <w:r w:rsidRPr="00EB545E">
        <w:rPr>
          <w:rFonts w:ascii="Times New Roman" w:hAnsi="Times New Roman"/>
          <w:bCs/>
          <w:sz w:val="24"/>
          <w:szCs w:val="24"/>
        </w:rPr>
        <w:t xml:space="preserve">σε θέματα </w:t>
      </w:r>
      <w:r w:rsidR="004072CE" w:rsidRPr="00EB545E">
        <w:rPr>
          <w:rFonts w:ascii="Times New Roman" w:hAnsi="Times New Roman"/>
          <w:bCs/>
          <w:sz w:val="24"/>
          <w:szCs w:val="24"/>
        </w:rPr>
        <w:t>παραγωγής</w:t>
      </w:r>
      <w:r w:rsidRPr="00EB545E">
        <w:rPr>
          <w:rFonts w:ascii="Times New Roman" w:hAnsi="Times New Roman"/>
          <w:bCs/>
          <w:sz w:val="24"/>
          <w:szCs w:val="24"/>
        </w:rPr>
        <w:t xml:space="preserve"> </w:t>
      </w:r>
      <w:r w:rsidR="00DA06A1" w:rsidRPr="00EB545E">
        <w:rPr>
          <w:rFonts w:ascii="Times New Roman" w:hAnsi="Times New Roman"/>
          <w:bCs/>
          <w:sz w:val="24"/>
          <w:szCs w:val="24"/>
        </w:rPr>
        <w:t xml:space="preserve">αλλά </w:t>
      </w:r>
      <w:r w:rsidRPr="00EB545E">
        <w:rPr>
          <w:rFonts w:ascii="Times New Roman" w:hAnsi="Times New Roman"/>
          <w:bCs/>
          <w:sz w:val="24"/>
          <w:szCs w:val="24"/>
        </w:rPr>
        <w:t xml:space="preserve">και </w:t>
      </w:r>
      <w:r w:rsidR="004072CE" w:rsidRPr="00EB545E">
        <w:rPr>
          <w:rFonts w:ascii="Times New Roman" w:hAnsi="Times New Roman"/>
          <w:bCs/>
          <w:sz w:val="24"/>
          <w:szCs w:val="24"/>
        </w:rPr>
        <w:t>διάχυσης</w:t>
      </w:r>
      <w:r w:rsidRPr="00EB545E">
        <w:rPr>
          <w:rFonts w:ascii="Times New Roman" w:hAnsi="Times New Roman"/>
          <w:bCs/>
          <w:sz w:val="24"/>
          <w:szCs w:val="24"/>
        </w:rPr>
        <w:t xml:space="preserve"> </w:t>
      </w:r>
      <w:r w:rsidR="004072CE" w:rsidRPr="00EB545E">
        <w:rPr>
          <w:rFonts w:ascii="Times New Roman" w:hAnsi="Times New Roman"/>
          <w:bCs/>
          <w:sz w:val="24"/>
          <w:szCs w:val="24"/>
        </w:rPr>
        <w:t>στατιστικών</w:t>
      </w:r>
      <w:r w:rsidRPr="00EB545E">
        <w:rPr>
          <w:rFonts w:ascii="Times New Roman" w:hAnsi="Times New Roman"/>
          <w:bCs/>
          <w:sz w:val="24"/>
          <w:szCs w:val="24"/>
        </w:rPr>
        <w:t xml:space="preserve"> για την αναπηρ</w:t>
      </w:r>
      <w:r w:rsidR="00800F5D" w:rsidRPr="00EB545E">
        <w:rPr>
          <w:rFonts w:ascii="Times New Roman" w:hAnsi="Times New Roman"/>
          <w:bCs/>
          <w:sz w:val="24"/>
          <w:szCs w:val="24"/>
        </w:rPr>
        <w:t>ία.</w:t>
      </w:r>
      <w:r w:rsidR="000A4463" w:rsidRPr="00EB545E">
        <w:rPr>
          <w:rFonts w:ascii="Times New Roman" w:hAnsi="Times New Roman"/>
          <w:bCs/>
          <w:sz w:val="24"/>
          <w:szCs w:val="24"/>
        </w:rPr>
        <w:t xml:space="preserve"> </w:t>
      </w:r>
    </w:p>
    <w:p w:rsidR="002D1489" w:rsidRPr="00EB545E" w:rsidRDefault="00F6541C" w:rsidP="00886135">
      <w:pPr>
        <w:spacing w:line="276" w:lineRule="auto"/>
        <w:jc w:val="both"/>
        <w:rPr>
          <w:rFonts w:ascii="Times New Roman" w:hAnsi="Times New Roman"/>
          <w:bCs/>
          <w:sz w:val="24"/>
          <w:szCs w:val="24"/>
        </w:rPr>
      </w:pPr>
      <w:r w:rsidRPr="00EB545E">
        <w:rPr>
          <w:rFonts w:ascii="Times New Roman" w:hAnsi="Times New Roman"/>
          <w:bCs/>
          <w:sz w:val="24"/>
          <w:szCs w:val="24"/>
        </w:rPr>
        <w:t>Σύμφωνα με</w:t>
      </w:r>
      <w:r w:rsidR="0046559E" w:rsidRPr="00EB545E">
        <w:rPr>
          <w:rFonts w:ascii="Times New Roman" w:hAnsi="Times New Roman"/>
          <w:bCs/>
          <w:sz w:val="24"/>
          <w:szCs w:val="24"/>
        </w:rPr>
        <w:t xml:space="preserve"> την επεξεργασία</w:t>
      </w:r>
      <w:r w:rsidR="007A48B9">
        <w:rPr>
          <w:rFonts w:ascii="Times New Roman" w:hAnsi="Times New Roman"/>
          <w:bCs/>
          <w:sz w:val="24"/>
          <w:szCs w:val="24"/>
        </w:rPr>
        <w:t>,</w:t>
      </w:r>
      <w:r w:rsidR="0046559E" w:rsidRPr="00EB545E">
        <w:rPr>
          <w:rFonts w:ascii="Times New Roman" w:hAnsi="Times New Roman"/>
          <w:bCs/>
          <w:sz w:val="24"/>
          <w:szCs w:val="24"/>
        </w:rPr>
        <w:t xml:space="preserve"> </w:t>
      </w:r>
      <w:r w:rsidR="00C72BE0">
        <w:rPr>
          <w:rFonts w:ascii="Times New Roman" w:hAnsi="Times New Roman"/>
          <w:bCs/>
          <w:sz w:val="24"/>
          <w:szCs w:val="24"/>
        </w:rPr>
        <w:t>από το Παρατηρητήριο της ΕΣΑμεΑ</w:t>
      </w:r>
      <w:r w:rsidR="007A48B9">
        <w:rPr>
          <w:rFonts w:ascii="Times New Roman" w:hAnsi="Times New Roman"/>
          <w:bCs/>
          <w:sz w:val="24"/>
          <w:szCs w:val="24"/>
        </w:rPr>
        <w:t>,</w:t>
      </w:r>
      <w:r w:rsidR="00C72BE0">
        <w:rPr>
          <w:rFonts w:ascii="Times New Roman" w:hAnsi="Times New Roman"/>
          <w:bCs/>
          <w:sz w:val="24"/>
          <w:szCs w:val="24"/>
        </w:rPr>
        <w:t xml:space="preserve"> των στοιχείων της</w:t>
      </w:r>
      <w:r w:rsidR="00C72BE0" w:rsidRPr="00C72BE0">
        <w:rPr>
          <w:rFonts w:ascii="Times New Roman" w:hAnsi="Times New Roman"/>
          <w:bCs/>
          <w:sz w:val="24"/>
          <w:szCs w:val="24"/>
        </w:rPr>
        <w:t xml:space="preserve"> </w:t>
      </w:r>
      <w:r w:rsidR="00C72BE0" w:rsidRPr="00EB545E">
        <w:rPr>
          <w:rFonts w:ascii="Times New Roman" w:hAnsi="Times New Roman"/>
          <w:bCs/>
          <w:sz w:val="24"/>
          <w:szCs w:val="24"/>
        </w:rPr>
        <w:t>Έρευνα</w:t>
      </w:r>
      <w:r w:rsidR="00C72BE0">
        <w:rPr>
          <w:rFonts w:ascii="Times New Roman" w:hAnsi="Times New Roman"/>
          <w:bCs/>
          <w:sz w:val="24"/>
          <w:szCs w:val="24"/>
        </w:rPr>
        <w:t>ς</w:t>
      </w:r>
      <w:r w:rsidR="00C72BE0" w:rsidRPr="00EB545E">
        <w:rPr>
          <w:rFonts w:ascii="Times New Roman" w:hAnsi="Times New Roman"/>
          <w:bCs/>
          <w:sz w:val="24"/>
          <w:szCs w:val="24"/>
        </w:rPr>
        <w:t xml:space="preserve"> Εισοδήματος και Συνθηκών Διαβίωσης των Νοικοκυριών (</w:t>
      </w:r>
      <w:r w:rsidR="00C72BE0" w:rsidRPr="00EB545E">
        <w:rPr>
          <w:rFonts w:ascii="Times New Roman" w:hAnsi="Times New Roman"/>
          <w:bCs/>
          <w:sz w:val="24"/>
          <w:szCs w:val="24"/>
          <w:lang w:val="en-US"/>
        </w:rPr>
        <w:t>Statistics</w:t>
      </w:r>
      <w:r w:rsidR="00C72BE0" w:rsidRPr="00EB545E">
        <w:rPr>
          <w:rFonts w:ascii="Times New Roman" w:hAnsi="Times New Roman"/>
          <w:bCs/>
          <w:sz w:val="24"/>
          <w:szCs w:val="24"/>
        </w:rPr>
        <w:t xml:space="preserve"> </w:t>
      </w:r>
      <w:r w:rsidR="00C72BE0" w:rsidRPr="00EB545E">
        <w:rPr>
          <w:rFonts w:ascii="Times New Roman" w:hAnsi="Times New Roman"/>
          <w:bCs/>
          <w:sz w:val="24"/>
          <w:szCs w:val="24"/>
          <w:lang w:val="en-US"/>
        </w:rPr>
        <w:t>on</w:t>
      </w:r>
      <w:r w:rsidR="00C72BE0" w:rsidRPr="00EB545E">
        <w:rPr>
          <w:rFonts w:ascii="Times New Roman" w:hAnsi="Times New Roman"/>
          <w:bCs/>
          <w:sz w:val="24"/>
          <w:szCs w:val="24"/>
        </w:rPr>
        <w:t xml:space="preserve"> </w:t>
      </w:r>
      <w:r w:rsidR="00C72BE0" w:rsidRPr="00EB545E">
        <w:rPr>
          <w:rFonts w:ascii="Times New Roman" w:hAnsi="Times New Roman"/>
          <w:bCs/>
          <w:sz w:val="24"/>
          <w:szCs w:val="24"/>
          <w:lang w:val="en-US"/>
        </w:rPr>
        <w:t>Income</w:t>
      </w:r>
      <w:r w:rsidR="00C72BE0" w:rsidRPr="00EB545E">
        <w:rPr>
          <w:rFonts w:ascii="Times New Roman" w:hAnsi="Times New Roman"/>
          <w:bCs/>
          <w:sz w:val="24"/>
          <w:szCs w:val="24"/>
        </w:rPr>
        <w:t xml:space="preserve"> </w:t>
      </w:r>
      <w:r w:rsidR="00C72BE0" w:rsidRPr="00EB545E">
        <w:rPr>
          <w:rFonts w:ascii="Times New Roman" w:hAnsi="Times New Roman"/>
          <w:bCs/>
          <w:sz w:val="24"/>
          <w:szCs w:val="24"/>
          <w:lang w:val="en-US"/>
        </w:rPr>
        <w:t>and</w:t>
      </w:r>
      <w:r w:rsidR="00C72BE0" w:rsidRPr="00EB545E">
        <w:rPr>
          <w:rFonts w:ascii="Times New Roman" w:hAnsi="Times New Roman"/>
          <w:bCs/>
          <w:sz w:val="24"/>
          <w:szCs w:val="24"/>
        </w:rPr>
        <w:t xml:space="preserve"> </w:t>
      </w:r>
      <w:r w:rsidR="00C72BE0" w:rsidRPr="00EB545E">
        <w:rPr>
          <w:rFonts w:ascii="Times New Roman" w:hAnsi="Times New Roman"/>
          <w:bCs/>
          <w:sz w:val="24"/>
          <w:szCs w:val="24"/>
          <w:lang w:val="en-US"/>
        </w:rPr>
        <w:t>Living</w:t>
      </w:r>
      <w:r w:rsidR="00C72BE0" w:rsidRPr="00EB545E">
        <w:rPr>
          <w:rFonts w:ascii="Times New Roman" w:hAnsi="Times New Roman"/>
          <w:bCs/>
          <w:sz w:val="24"/>
          <w:szCs w:val="24"/>
        </w:rPr>
        <w:t xml:space="preserve"> </w:t>
      </w:r>
      <w:r w:rsidR="00C72BE0" w:rsidRPr="00EB545E">
        <w:rPr>
          <w:rFonts w:ascii="Times New Roman" w:hAnsi="Times New Roman"/>
          <w:bCs/>
          <w:sz w:val="24"/>
          <w:szCs w:val="24"/>
          <w:lang w:val="en-US"/>
        </w:rPr>
        <w:t>Conditions</w:t>
      </w:r>
      <w:r w:rsidR="00C72BE0" w:rsidRPr="00EB545E">
        <w:rPr>
          <w:rFonts w:ascii="Times New Roman" w:hAnsi="Times New Roman"/>
          <w:bCs/>
          <w:sz w:val="24"/>
          <w:szCs w:val="24"/>
        </w:rPr>
        <w:t>-</w:t>
      </w:r>
      <w:r w:rsidR="00C72BE0" w:rsidRPr="00EB545E">
        <w:rPr>
          <w:rFonts w:ascii="Times New Roman" w:hAnsi="Times New Roman"/>
          <w:bCs/>
          <w:sz w:val="24"/>
          <w:szCs w:val="24"/>
          <w:lang w:val="en-US"/>
        </w:rPr>
        <w:t>SILC</w:t>
      </w:r>
      <w:r w:rsidR="00C72BE0" w:rsidRPr="00EB545E">
        <w:rPr>
          <w:rFonts w:ascii="Times New Roman" w:hAnsi="Times New Roman"/>
          <w:bCs/>
          <w:sz w:val="24"/>
          <w:szCs w:val="24"/>
        </w:rPr>
        <w:t>)</w:t>
      </w:r>
      <w:r w:rsidR="00C72BE0">
        <w:rPr>
          <w:rFonts w:ascii="Times New Roman" w:hAnsi="Times New Roman"/>
          <w:bCs/>
          <w:sz w:val="24"/>
          <w:szCs w:val="24"/>
        </w:rPr>
        <w:t xml:space="preserve">, </w:t>
      </w:r>
      <w:r w:rsidR="00C72BE0" w:rsidRPr="00EB545E">
        <w:rPr>
          <w:rFonts w:ascii="Times New Roman" w:hAnsi="Times New Roman"/>
          <w:bCs/>
          <w:sz w:val="24"/>
          <w:szCs w:val="24"/>
        </w:rPr>
        <w:t>η οποία αποτελεί για την Ευρώπη και συνακόλουθα για την Ελλάδα, τη βασική πηγή αναφοράς των στατιστικών για τη φτώχεια και τον κοινωνικό αποκλεισμό στις χώρες της ΕΕ</w:t>
      </w:r>
      <w:r w:rsidR="00C72BE0">
        <w:rPr>
          <w:rFonts w:ascii="Times New Roman" w:hAnsi="Times New Roman"/>
          <w:bCs/>
          <w:sz w:val="24"/>
          <w:szCs w:val="24"/>
        </w:rPr>
        <w:t>,</w:t>
      </w:r>
      <w:r w:rsidR="00C72BE0" w:rsidRPr="00EB545E">
        <w:rPr>
          <w:rFonts w:ascii="Times New Roman" w:hAnsi="Times New Roman"/>
          <w:bCs/>
          <w:sz w:val="24"/>
          <w:szCs w:val="24"/>
        </w:rPr>
        <w:t xml:space="preserve"> </w:t>
      </w:r>
      <w:r w:rsidR="00C8006B" w:rsidRPr="00EB545E">
        <w:rPr>
          <w:rFonts w:ascii="Times New Roman" w:hAnsi="Times New Roman"/>
          <w:bCs/>
          <w:sz w:val="24"/>
          <w:szCs w:val="24"/>
        </w:rPr>
        <w:t>το ποσοστό των ατόμων με αναπηρία</w:t>
      </w:r>
      <w:r w:rsidR="00752329" w:rsidRPr="00EB545E">
        <w:rPr>
          <w:rFonts w:ascii="Times New Roman" w:hAnsi="Times New Roman"/>
          <w:bCs/>
          <w:sz w:val="24"/>
          <w:szCs w:val="24"/>
        </w:rPr>
        <w:t xml:space="preserve"> στην </w:t>
      </w:r>
      <w:r w:rsidR="00752329" w:rsidRPr="00EB545E">
        <w:rPr>
          <w:rFonts w:ascii="Times New Roman" w:hAnsi="Times New Roman"/>
          <w:bCs/>
          <w:sz w:val="24"/>
          <w:szCs w:val="24"/>
        </w:rPr>
        <w:lastRenderedPageBreak/>
        <w:t>Ελλάδα</w:t>
      </w:r>
      <w:r w:rsidR="00C8006B" w:rsidRPr="00EB545E">
        <w:rPr>
          <w:rFonts w:ascii="Times New Roman" w:hAnsi="Times New Roman"/>
          <w:bCs/>
          <w:sz w:val="24"/>
          <w:szCs w:val="24"/>
        </w:rPr>
        <w:t xml:space="preserve">, δηλαδή </w:t>
      </w:r>
      <w:r w:rsidR="00D90402" w:rsidRPr="00EB545E">
        <w:rPr>
          <w:rFonts w:ascii="Times New Roman" w:hAnsi="Times New Roman"/>
          <w:bCs/>
          <w:sz w:val="24"/>
          <w:szCs w:val="24"/>
        </w:rPr>
        <w:t>τα άτομα</w:t>
      </w:r>
      <w:r w:rsidR="00752329" w:rsidRPr="00EB545E">
        <w:rPr>
          <w:rFonts w:ascii="Times New Roman" w:hAnsi="Times New Roman"/>
          <w:bCs/>
          <w:sz w:val="24"/>
          <w:szCs w:val="24"/>
        </w:rPr>
        <w:t xml:space="preserve"> που αντιμετωπίζουν </w:t>
      </w:r>
      <w:r w:rsidR="00D90402" w:rsidRPr="00EB545E">
        <w:rPr>
          <w:rFonts w:ascii="Times New Roman" w:hAnsi="Times New Roman"/>
          <w:bCs/>
          <w:sz w:val="24"/>
          <w:szCs w:val="24"/>
        </w:rPr>
        <w:t>μακροπρόθεσμο περιορισμό ή δυσκολία στη συνήθη για τον πληθυσμό</w:t>
      </w:r>
      <w:r w:rsidR="00C8006B" w:rsidRPr="00EB545E">
        <w:rPr>
          <w:rFonts w:ascii="Times New Roman" w:hAnsi="Times New Roman"/>
          <w:bCs/>
          <w:sz w:val="24"/>
          <w:szCs w:val="24"/>
        </w:rPr>
        <w:t xml:space="preserve"> </w:t>
      </w:r>
      <w:r w:rsidR="00D90402" w:rsidRPr="00EB545E">
        <w:rPr>
          <w:rFonts w:ascii="Times New Roman" w:hAnsi="Times New Roman"/>
          <w:bCs/>
          <w:sz w:val="24"/>
          <w:szCs w:val="24"/>
        </w:rPr>
        <w:t>δραστηριότητα</w:t>
      </w:r>
      <w:r w:rsidR="00752329" w:rsidRPr="00EB545E">
        <w:rPr>
          <w:rFonts w:ascii="Times New Roman" w:hAnsi="Times New Roman"/>
          <w:bCs/>
          <w:sz w:val="24"/>
          <w:szCs w:val="24"/>
        </w:rPr>
        <w:t xml:space="preserve"> τους</w:t>
      </w:r>
      <w:r w:rsidR="00C8006B" w:rsidRPr="00EB545E">
        <w:rPr>
          <w:rFonts w:ascii="Times New Roman" w:hAnsi="Times New Roman"/>
          <w:bCs/>
          <w:sz w:val="24"/>
          <w:szCs w:val="24"/>
        </w:rPr>
        <w:t xml:space="preserve"> λό</w:t>
      </w:r>
      <w:r w:rsidRPr="00EB545E">
        <w:rPr>
          <w:rFonts w:ascii="Times New Roman" w:hAnsi="Times New Roman"/>
          <w:bCs/>
          <w:sz w:val="24"/>
          <w:szCs w:val="24"/>
        </w:rPr>
        <w:t xml:space="preserve">γω προβλημάτων υγείας, </w:t>
      </w:r>
      <w:r w:rsidRPr="00EB545E">
        <w:rPr>
          <w:rFonts w:ascii="Times New Roman" w:hAnsi="Times New Roman"/>
          <w:b/>
          <w:bCs/>
          <w:sz w:val="24"/>
          <w:szCs w:val="24"/>
        </w:rPr>
        <w:t>ανήλθε το 2016</w:t>
      </w:r>
      <w:r w:rsidR="00C8006B" w:rsidRPr="00EB545E">
        <w:rPr>
          <w:rFonts w:ascii="Times New Roman" w:hAnsi="Times New Roman"/>
          <w:b/>
          <w:bCs/>
          <w:sz w:val="24"/>
          <w:szCs w:val="24"/>
        </w:rPr>
        <w:t xml:space="preserve"> στο 24,7%, του πλ</w:t>
      </w:r>
      <w:r w:rsidR="00752329" w:rsidRPr="00EB545E">
        <w:rPr>
          <w:rFonts w:ascii="Times New Roman" w:hAnsi="Times New Roman"/>
          <w:b/>
          <w:bCs/>
          <w:sz w:val="24"/>
          <w:szCs w:val="24"/>
        </w:rPr>
        <w:t>ηθυσμού ηλικίας 16 ετών και άνω, ποσοστό που αντιστοιχεί σε</w:t>
      </w:r>
      <w:r w:rsidR="00C8006B" w:rsidRPr="00EB545E">
        <w:rPr>
          <w:rFonts w:ascii="Times New Roman" w:hAnsi="Times New Roman"/>
          <w:b/>
          <w:bCs/>
          <w:sz w:val="24"/>
          <w:szCs w:val="24"/>
        </w:rPr>
        <w:t xml:space="preserve"> 2.231.197</w:t>
      </w:r>
      <w:r w:rsidR="00752329" w:rsidRPr="00EB545E">
        <w:rPr>
          <w:rFonts w:ascii="Times New Roman" w:hAnsi="Times New Roman"/>
          <w:b/>
          <w:bCs/>
          <w:sz w:val="24"/>
          <w:szCs w:val="24"/>
        </w:rPr>
        <w:t xml:space="preserve"> άτομα</w:t>
      </w:r>
      <w:r w:rsidR="00C8006B" w:rsidRPr="00EB545E">
        <w:rPr>
          <w:rFonts w:ascii="Times New Roman" w:hAnsi="Times New Roman"/>
          <w:bCs/>
          <w:sz w:val="24"/>
          <w:szCs w:val="24"/>
        </w:rPr>
        <w:t>.</w:t>
      </w:r>
      <w:r w:rsidR="00752329" w:rsidRPr="00EB545E">
        <w:rPr>
          <w:rFonts w:ascii="Times New Roman" w:hAnsi="Times New Roman"/>
          <w:bCs/>
          <w:sz w:val="24"/>
          <w:szCs w:val="24"/>
        </w:rPr>
        <w:t xml:space="preserve"> </w:t>
      </w:r>
      <w:r w:rsidR="00C8006B" w:rsidRPr="00EB545E">
        <w:rPr>
          <w:rFonts w:ascii="Times New Roman" w:hAnsi="Times New Roman"/>
          <w:bCs/>
          <w:sz w:val="24"/>
          <w:szCs w:val="24"/>
        </w:rPr>
        <w:t>Εξ αυτών, 1.014.177 άτομα, δηλαδή το 11,2% του πληθυσμού</w:t>
      </w:r>
      <w:r w:rsidR="00D90402" w:rsidRPr="00EB545E">
        <w:rPr>
          <w:rFonts w:ascii="Times New Roman" w:hAnsi="Times New Roman"/>
          <w:bCs/>
          <w:sz w:val="24"/>
          <w:szCs w:val="24"/>
        </w:rPr>
        <w:t>,</w:t>
      </w:r>
      <w:r w:rsidR="00C8006B" w:rsidRPr="00EB545E">
        <w:rPr>
          <w:rFonts w:ascii="Times New Roman" w:hAnsi="Times New Roman"/>
          <w:bCs/>
          <w:sz w:val="24"/>
          <w:szCs w:val="24"/>
        </w:rPr>
        <w:t xml:space="preserve"> αντιμετωπίζουν σοβαρής μορφής περιορισμό</w:t>
      </w:r>
      <w:r w:rsidR="00D90402" w:rsidRPr="00EB545E">
        <w:rPr>
          <w:rFonts w:ascii="Times New Roman" w:hAnsi="Times New Roman"/>
          <w:bCs/>
          <w:sz w:val="24"/>
          <w:szCs w:val="24"/>
        </w:rPr>
        <w:t xml:space="preserve">/αναπηρία. </w:t>
      </w:r>
      <w:r w:rsidR="00C8006B" w:rsidRPr="00EB545E">
        <w:rPr>
          <w:rFonts w:ascii="Times New Roman" w:hAnsi="Times New Roman"/>
          <w:bCs/>
          <w:sz w:val="24"/>
          <w:szCs w:val="24"/>
        </w:rPr>
        <w:t xml:space="preserve"> </w:t>
      </w:r>
    </w:p>
    <w:p w:rsidR="0043490D" w:rsidRPr="00EB545E" w:rsidRDefault="002C72F0" w:rsidP="009A5845">
      <w:pPr>
        <w:spacing w:line="276" w:lineRule="auto"/>
        <w:jc w:val="both"/>
        <w:rPr>
          <w:rFonts w:ascii="Times New Roman" w:hAnsi="Times New Roman"/>
          <w:bCs/>
          <w:sz w:val="24"/>
          <w:szCs w:val="24"/>
        </w:rPr>
      </w:pPr>
      <w:r w:rsidRPr="00EB545E">
        <w:rPr>
          <w:rFonts w:ascii="Times New Roman" w:hAnsi="Times New Roman"/>
          <w:bCs/>
          <w:sz w:val="24"/>
          <w:szCs w:val="24"/>
        </w:rPr>
        <w:t>Βασικός δείκτης για την παρακολούθηση των μεγεθών της φτώχειας και του αποκλεισμού στην Ε.Ε. είναι ο σύνθετος</w:t>
      </w:r>
      <w:r w:rsidR="0043490D" w:rsidRPr="00EB545E">
        <w:rPr>
          <w:rFonts w:ascii="Times New Roman" w:hAnsi="Times New Roman"/>
          <w:bCs/>
          <w:sz w:val="24"/>
          <w:szCs w:val="24"/>
        </w:rPr>
        <w:t xml:space="preserve"> δείκτης «Πληθυσμός σε κίνδυνο φτώχειας ή κοινωνικό αποκλεισμό</w:t>
      </w:r>
      <w:r w:rsidRPr="00EB545E">
        <w:rPr>
          <w:rFonts w:ascii="Times New Roman" w:hAnsi="Times New Roman"/>
          <w:bCs/>
          <w:sz w:val="24"/>
          <w:szCs w:val="24"/>
        </w:rPr>
        <w:t xml:space="preserve">», ο οποίος </w:t>
      </w:r>
      <w:r w:rsidR="0043490D" w:rsidRPr="00EB545E">
        <w:rPr>
          <w:rFonts w:ascii="Times New Roman" w:hAnsi="Times New Roman"/>
          <w:bCs/>
          <w:sz w:val="24"/>
          <w:szCs w:val="24"/>
        </w:rPr>
        <w:t xml:space="preserve">εκτιμά το ποσοστό των ατόμων σε κίνδυνο φτώχειας ή σε κοινωνικό αποκλεισμό λαμβάνοντας </w:t>
      </w:r>
      <w:r w:rsidR="00196097" w:rsidRPr="00EB545E">
        <w:rPr>
          <w:rFonts w:ascii="Times New Roman" w:hAnsi="Times New Roman"/>
          <w:bCs/>
          <w:sz w:val="24"/>
          <w:szCs w:val="24"/>
        </w:rPr>
        <w:t xml:space="preserve">συνδυαστικά </w:t>
      </w:r>
      <w:r w:rsidR="0043490D" w:rsidRPr="00EB545E">
        <w:rPr>
          <w:rFonts w:ascii="Times New Roman" w:hAnsi="Times New Roman"/>
          <w:bCs/>
          <w:sz w:val="24"/>
          <w:szCs w:val="24"/>
        </w:rPr>
        <w:t xml:space="preserve">υπόψη </w:t>
      </w:r>
      <w:r w:rsidRPr="00EB545E">
        <w:rPr>
          <w:rFonts w:ascii="Times New Roman" w:hAnsi="Times New Roman"/>
          <w:bCs/>
          <w:sz w:val="24"/>
          <w:szCs w:val="24"/>
        </w:rPr>
        <w:t xml:space="preserve">3 </w:t>
      </w:r>
      <w:r w:rsidR="00196097" w:rsidRPr="00EB545E">
        <w:rPr>
          <w:rFonts w:ascii="Times New Roman" w:hAnsi="Times New Roman"/>
          <w:bCs/>
          <w:sz w:val="24"/>
          <w:szCs w:val="24"/>
        </w:rPr>
        <w:t xml:space="preserve">διαφορετικά </w:t>
      </w:r>
      <w:r w:rsidRPr="00EB545E">
        <w:rPr>
          <w:rFonts w:ascii="Times New Roman" w:hAnsi="Times New Roman"/>
          <w:bCs/>
          <w:sz w:val="24"/>
          <w:szCs w:val="24"/>
        </w:rPr>
        <w:t>ποσοστά</w:t>
      </w:r>
      <w:r w:rsidR="0066475C" w:rsidRPr="00EB545E">
        <w:rPr>
          <w:rFonts w:ascii="Times New Roman" w:hAnsi="Times New Roman"/>
          <w:bCs/>
          <w:sz w:val="24"/>
          <w:szCs w:val="24"/>
        </w:rPr>
        <w:t>/υπο-δείκτες</w:t>
      </w:r>
      <w:r w:rsidRPr="00EB545E">
        <w:rPr>
          <w:rFonts w:ascii="Times New Roman" w:hAnsi="Times New Roman"/>
          <w:bCs/>
          <w:sz w:val="24"/>
          <w:szCs w:val="24"/>
        </w:rPr>
        <w:t>:</w:t>
      </w:r>
    </w:p>
    <w:p w:rsidR="00EB545E" w:rsidRDefault="0066475C" w:rsidP="00EB545E">
      <w:pPr>
        <w:pStyle w:val="a3"/>
        <w:numPr>
          <w:ilvl w:val="0"/>
          <w:numId w:val="8"/>
        </w:numPr>
        <w:spacing w:line="276" w:lineRule="auto"/>
        <w:ind w:left="142" w:hanging="142"/>
        <w:jc w:val="both"/>
        <w:rPr>
          <w:bCs/>
        </w:rPr>
      </w:pPr>
      <w:r w:rsidRPr="00EB545E">
        <w:rPr>
          <w:bCs/>
        </w:rPr>
        <w:t xml:space="preserve">Υπο-δείκτης 1: </w:t>
      </w:r>
      <w:r w:rsidR="0043490D" w:rsidRPr="00EB545E">
        <w:rPr>
          <w:bCs/>
        </w:rPr>
        <w:t xml:space="preserve">Το ποσοστό </w:t>
      </w:r>
      <w:r w:rsidR="00DC139B" w:rsidRPr="00EB545E">
        <w:rPr>
          <w:bCs/>
        </w:rPr>
        <w:t xml:space="preserve">κινδύνου φτώχειας, δηλαδή το ποσοστό </w:t>
      </w:r>
      <w:r w:rsidR="0043490D" w:rsidRPr="00EB545E">
        <w:rPr>
          <w:bCs/>
        </w:rPr>
        <w:t xml:space="preserve">των ατόμων που διαβιεί κάτω από το </w:t>
      </w:r>
      <w:r w:rsidR="00DC139B" w:rsidRPr="00EB545E">
        <w:rPr>
          <w:bCs/>
        </w:rPr>
        <w:t>εισοδηματικ</w:t>
      </w:r>
      <w:r w:rsidR="00C72BE0">
        <w:rPr>
          <w:bCs/>
        </w:rPr>
        <w:t>ό όριο</w:t>
      </w:r>
      <w:r w:rsidR="00DC139B" w:rsidRPr="00EB545E">
        <w:rPr>
          <w:bCs/>
        </w:rPr>
        <w:t xml:space="preserve"> που ορίζεται ως </w:t>
      </w:r>
      <w:r w:rsidR="0043490D" w:rsidRPr="00EB545E">
        <w:rPr>
          <w:bCs/>
        </w:rPr>
        <w:t xml:space="preserve"> </w:t>
      </w:r>
      <w:r w:rsidR="00DC139B" w:rsidRPr="00EB545E">
        <w:rPr>
          <w:bCs/>
        </w:rPr>
        <w:t>κατώφλι φτώχειας</w:t>
      </w:r>
      <w:r w:rsidR="00EB545E">
        <w:rPr>
          <w:bCs/>
        </w:rPr>
        <w:t xml:space="preserve">, </w:t>
      </w:r>
    </w:p>
    <w:p w:rsidR="00EB545E" w:rsidRDefault="0066475C" w:rsidP="00EB545E">
      <w:pPr>
        <w:pStyle w:val="a3"/>
        <w:numPr>
          <w:ilvl w:val="0"/>
          <w:numId w:val="8"/>
        </w:numPr>
        <w:spacing w:line="276" w:lineRule="auto"/>
        <w:ind w:left="142" w:hanging="142"/>
        <w:jc w:val="both"/>
        <w:rPr>
          <w:bCs/>
        </w:rPr>
      </w:pPr>
      <w:r w:rsidRPr="00EB545E">
        <w:rPr>
          <w:bCs/>
        </w:rPr>
        <w:t xml:space="preserve">Υπο-δείκτης 2: </w:t>
      </w:r>
      <w:r w:rsidR="0043490D" w:rsidRPr="00EB545E">
        <w:rPr>
          <w:bCs/>
        </w:rPr>
        <w:t xml:space="preserve">Το ποσοστό των ατόμων που αντιμετωπίζει </w:t>
      </w:r>
      <w:r w:rsidR="002C72F0" w:rsidRPr="00EB545E">
        <w:rPr>
          <w:bCs/>
        </w:rPr>
        <w:t xml:space="preserve">σοβαρές </w:t>
      </w:r>
      <w:r w:rsidR="0043490D" w:rsidRPr="00EB545E">
        <w:rPr>
          <w:bCs/>
        </w:rPr>
        <w:t>υλικές στερήσεις</w:t>
      </w:r>
      <w:r w:rsidR="00EB545E">
        <w:rPr>
          <w:bCs/>
        </w:rPr>
        <w:t>,</w:t>
      </w:r>
      <w:r w:rsidR="0043490D" w:rsidRPr="00EB545E">
        <w:rPr>
          <w:bCs/>
        </w:rPr>
        <w:t xml:space="preserve"> </w:t>
      </w:r>
    </w:p>
    <w:p w:rsidR="00DA06A1" w:rsidRPr="00EB545E" w:rsidRDefault="0066475C" w:rsidP="00EB545E">
      <w:pPr>
        <w:pStyle w:val="a3"/>
        <w:numPr>
          <w:ilvl w:val="0"/>
          <w:numId w:val="8"/>
        </w:numPr>
        <w:spacing w:line="276" w:lineRule="auto"/>
        <w:ind w:left="142" w:hanging="142"/>
        <w:jc w:val="both"/>
        <w:rPr>
          <w:bCs/>
        </w:rPr>
      </w:pPr>
      <w:r w:rsidRPr="00EB545E">
        <w:rPr>
          <w:bCs/>
        </w:rPr>
        <w:t xml:space="preserve">Υπο-δείκτης 3: </w:t>
      </w:r>
      <w:r w:rsidR="0043490D" w:rsidRPr="00EB545E">
        <w:rPr>
          <w:bCs/>
        </w:rPr>
        <w:t>Το ποσοστό των ατόμων που διαβιεί σε νοικοκυριά με εργασία χαμηλής έντασης</w:t>
      </w:r>
      <w:r w:rsidR="00EA04C5" w:rsidRPr="00EB545E">
        <w:rPr>
          <w:bCs/>
        </w:rPr>
        <w:t xml:space="preserve"> (</w:t>
      </w:r>
      <w:r w:rsidR="00EA04C5" w:rsidRPr="00EB545E">
        <w:t>νοικοκυριά που τα μέλη του εργάστηκαν συνολικά λιγότερο από 20% των συνηθισμένων ωρών απασχόλησης σε ώρες κατά τη διάρκεια του προηγούμενου έτους)</w:t>
      </w:r>
      <w:r w:rsidR="00EB545E">
        <w:t>.</w:t>
      </w:r>
    </w:p>
    <w:p w:rsidR="006A6706" w:rsidRPr="00EB545E" w:rsidRDefault="00EA04C5" w:rsidP="00DA06A1">
      <w:pPr>
        <w:pStyle w:val="a3"/>
        <w:spacing w:line="276" w:lineRule="auto"/>
        <w:jc w:val="both"/>
        <w:rPr>
          <w:bCs/>
        </w:rPr>
      </w:pPr>
      <w:r w:rsidRPr="00EB545E">
        <w:tab/>
      </w:r>
    </w:p>
    <w:p w:rsidR="006A6706" w:rsidRPr="00EB545E" w:rsidRDefault="006A6706" w:rsidP="006A6706">
      <w:pPr>
        <w:spacing w:line="276" w:lineRule="auto"/>
        <w:jc w:val="both"/>
        <w:rPr>
          <w:rFonts w:ascii="Times New Roman" w:hAnsi="Times New Roman"/>
          <w:bCs/>
          <w:sz w:val="24"/>
          <w:szCs w:val="24"/>
        </w:rPr>
      </w:pPr>
      <w:r w:rsidRPr="00EB545E">
        <w:rPr>
          <w:rFonts w:ascii="Times New Roman" w:hAnsi="Times New Roman"/>
          <w:bCs/>
          <w:sz w:val="24"/>
          <w:szCs w:val="24"/>
        </w:rPr>
        <w:t xml:space="preserve">Τα στοιχεία </w:t>
      </w:r>
      <w:r w:rsidR="00C72BE0">
        <w:rPr>
          <w:rFonts w:ascii="Times New Roman" w:hAnsi="Times New Roman"/>
          <w:bCs/>
          <w:sz w:val="24"/>
          <w:szCs w:val="24"/>
        </w:rPr>
        <w:t xml:space="preserve">της έρευνας </w:t>
      </w:r>
      <w:r w:rsidRPr="00EB545E">
        <w:rPr>
          <w:rFonts w:ascii="Times New Roman" w:hAnsi="Times New Roman"/>
          <w:bCs/>
          <w:sz w:val="24"/>
          <w:szCs w:val="24"/>
        </w:rPr>
        <w:t>(</w:t>
      </w:r>
      <w:r w:rsidRPr="00EB545E">
        <w:rPr>
          <w:rFonts w:ascii="Times New Roman" w:hAnsi="Times New Roman"/>
          <w:bCs/>
          <w:sz w:val="24"/>
          <w:szCs w:val="24"/>
          <w:lang w:val="en-US"/>
        </w:rPr>
        <w:t>SILC</w:t>
      </w:r>
      <w:r w:rsidRPr="00EB545E">
        <w:rPr>
          <w:rFonts w:ascii="Times New Roman" w:hAnsi="Times New Roman"/>
          <w:bCs/>
          <w:sz w:val="24"/>
          <w:szCs w:val="24"/>
        </w:rPr>
        <w:t>-2016) είναι αποκαρδιωτικά για την Ελλάδα, με τον συνολικό πληθυσμό που βρίσκεται σε κίνδυνο φτώχειας ή κοινωνικού αποκλεισμού να ανέρχεται στο 35,6% (3.789.300 άτομα)</w:t>
      </w:r>
      <w:r w:rsidR="001E5A77">
        <w:rPr>
          <w:rFonts w:ascii="Times New Roman" w:hAnsi="Times New Roman"/>
          <w:bCs/>
          <w:sz w:val="24"/>
          <w:szCs w:val="24"/>
        </w:rPr>
        <w:t>, ενώ γ</w:t>
      </w:r>
      <w:r w:rsidRPr="00EB545E">
        <w:rPr>
          <w:rFonts w:ascii="Times New Roman" w:hAnsi="Times New Roman"/>
          <w:bCs/>
          <w:sz w:val="24"/>
          <w:szCs w:val="24"/>
        </w:rPr>
        <w:t>ια τον πληθυσμό των ατόμων με αναπηρία και τ</w:t>
      </w:r>
      <w:r w:rsidR="001E5A77">
        <w:rPr>
          <w:rFonts w:ascii="Times New Roman" w:hAnsi="Times New Roman"/>
          <w:bCs/>
          <w:sz w:val="24"/>
          <w:szCs w:val="24"/>
        </w:rPr>
        <w:t>ων</w:t>
      </w:r>
      <w:r w:rsidRPr="00EB545E">
        <w:rPr>
          <w:rFonts w:ascii="Times New Roman" w:hAnsi="Times New Roman"/>
          <w:bCs/>
          <w:sz w:val="24"/>
          <w:szCs w:val="24"/>
        </w:rPr>
        <w:t xml:space="preserve"> οικογένει</w:t>
      </w:r>
      <w:r w:rsidR="001E5A77">
        <w:rPr>
          <w:rFonts w:ascii="Times New Roman" w:hAnsi="Times New Roman"/>
          <w:bCs/>
          <w:sz w:val="24"/>
          <w:szCs w:val="24"/>
        </w:rPr>
        <w:t>ών</w:t>
      </w:r>
      <w:r w:rsidRPr="00EB545E">
        <w:rPr>
          <w:rFonts w:ascii="Times New Roman" w:hAnsi="Times New Roman"/>
          <w:bCs/>
          <w:sz w:val="24"/>
          <w:szCs w:val="24"/>
        </w:rPr>
        <w:t xml:space="preserve"> τους ο κίνδυνος της φτώχειας ή κοινωνικού αποκλεισμού είναι </w:t>
      </w:r>
      <w:r w:rsidR="001B4C9D" w:rsidRPr="00EB545E">
        <w:rPr>
          <w:rFonts w:ascii="Times New Roman" w:hAnsi="Times New Roman"/>
          <w:bCs/>
          <w:sz w:val="24"/>
          <w:szCs w:val="24"/>
        </w:rPr>
        <w:t xml:space="preserve">σημαντικά περισσότερο </w:t>
      </w:r>
      <w:r w:rsidR="005A5F4F" w:rsidRPr="00EB545E">
        <w:rPr>
          <w:rFonts w:ascii="Times New Roman" w:hAnsi="Times New Roman"/>
          <w:bCs/>
          <w:sz w:val="24"/>
          <w:szCs w:val="24"/>
        </w:rPr>
        <w:t>διαδεδομένος</w:t>
      </w:r>
      <w:r w:rsidR="001B4C9D" w:rsidRPr="00EB545E">
        <w:rPr>
          <w:rFonts w:ascii="Times New Roman" w:hAnsi="Times New Roman"/>
          <w:bCs/>
          <w:sz w:val="24"/>
          <w:szCs w:val="24"/>
        </w:rPr>
        <w:t xml:space="preserve"> και </w:t>
      </w:r>
      <w:r w:rsidR="00894F5C" w:rsidRPr="00EB545E">
        <w:rPr>
          <w:rFonts w:ascii="Times New Roman" w:hAnsi="Times New Roman"/>
          <w:bCs/>
          <w:sz w:val="24"/>
          <w:szCs w:val="24"/>
        </w:rPr>
        <w:t xml:space="preserve">ιδιαίτερα </w:t>
      </w:r>
      <w:r w:rsidR="001B4C9D" w:rsidRPr="00EB545E">
        <w:rPr>
          <w:rFonts w:ascii="Times New Roman" w:hAnsi="Times New Roman"/>
          <w:bCs/>
          <w:sz w:val="24"/>
          <w:szCs w:val="24"/>
        </w:rPr>
        <w:t>σοβαρός.</w:t>
      </w:r>
    </w:p>
    <w:p w:rsidR="005A5F4F" w:rsidRPr="00EB545E" w:rsidRDefault="00933A9F" w:rsidP="005A5F4F">
      <w:pPr>
        <w:spacing w:line="276" w:lineRule="auto"/>
        <w:jc w:val="both"/>
        <w:rPr>
          <w:rFonts w:ascii="Times New Roman" w:hAnsi="Times New Roman"/>
          <w:b/>
          <w:bCs/>
          <w:sz w:val="24"/>
          <w:szCs w:val="24"/>
        </w:rPr>
      </w:pPr>
      <w:r w:rsidRPr="00EB545E">
        <w:rPr>
          <w:rFonts w:ascii="Times New Roman" w:hAnsi="Times New Roman"/>
          <w:b/>
          <w:bCs/>
          <w:sz w:val="24"/>
          <w:szCs w:val="24"/>
        </w:rPr>
        <w:t xml:space="preserve">ΣΥΝΘΕΤΟΣ ΔΕΙΚΤΗΣ: </w:t>
      </w:r>
      <w:r w:rsidR="005A5F4F" w:rsidRPr="00EB545E">
        <w:rPr>
          <w:rFonts w:ascii="Times New Roman" w:hAnsi="Times New Roman"/>
          <w:b/>
          <w:bCs/>
          <w:sz w:val="24"/>
          <w:szCs w:val="24"/>
        </w:rPr>
        <w:t>ΠΛΗΘΥΣΜΟΣ 16 ΕΤΩΝ ΚΑΙ ΑΝΩ ΣΕ ΚΙΝΔΥΝΟ ΦΤΩΧΕΙΑΣ Η ΚΟΙΝΩΝΙΚΟΥ ΑΠΟΚΛΕΙΣΜΟΥ</w:t>
      </w:r>
    </w:p>
    <w:p w:rsidR="00CE5350" w:rsidRPr="00EB545E" w:rsidRDefault="005548C7" w:rsidP="005A5F4F">
      <w:pPr>
        <w:spacing w:line="276" w:lineRule="auto"/>
        <w:jc w:val="both"/>
        <w:rPr>
          <w:rFonts w:ascii="Times New Roman" w:hAnsi="Times New Roman"/>
          <w:bCs/>
          <w:sz w:val="24"/>
          <w:szCs w:val="24"/>
        </w:rPr>
      </w:pPr>
      <w:r w:rsidRPr="0034600F">
        <w:rPr>
          <w:rFonts w:ascii="Times New Roman" w:hAnsi="Times New Roman"/>
          <w:noProof/>
          <w:sz w:val="24"/>
          <w:szCs w:val="24"/>
          <w:lang w:eastAsia="el-GR"/>
        </w:rPr>
        <w:drawing>
          <wp:inline distT="0" distB="0" distL="0" distR="0">
            <wp:extent cx="5274945" cy="3027045"/>
            <wp:effectExtent l="0" t="0" r="1905" b="1905"/>
            <wp:docPr id="1" name="Γράφημα 1" descr="Τίτλος: γράφημα"/>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C72BE0" w:rsidRDefault="00552CC7" w:rsidP="005A5F4F">
      <w:pPr>
        <w:spacing w:line="276" w:lineRule="auto"/>
        <w:jc w:val="both"/>
        <w:rPr>
          <w:rFonts w:ascii="Times New Roman" w:hAnsi="Times New Roman"/>
          <w:bCs/>
          <w:sz w:val="24"/>
          <w:szCs w:val="24"/>
        </w:rPr>
      </w:pPr>
      <w:r w:rsidRPr="00EB545E">
        <w:rPr>
          <w:rFonts w:ascii="Times New Roman" w:hAnsi="Times New Roman"/>
          <w:bCs/>
          <w:sz w:val="24"/>
          <w:szCs w:val="24"/>
        </w:rPr>
        <w:lastRenderedPageBreak/>
        <w:t xml:space="preserve">Σε </w:t>
      </w:r>
      <w:r w:rsidR="006A6706" w:rsidRPr="00EB545E">
        <w:rPr>
          <w:rFonts w:ascii="Times New Roman" w:hAnsi="Times New Roman"/>
          <w:bCs/>
          <w:sz w:val="24"/>
          <w:szCs w:val="24"/>
        </w:rPr>
        <w:t xml:space="preserve">όλες τις </w:t>
      </w:r>
      <w:r w:rsidR="00C8006B" w:rsidRPr="00EB545E">
        <w:rPr>
          <w:rFonts w:ascii="Times New Roman" w:hAnsi="Times New Roman"/>
          <w:bCs/>
          <w:sz w:val="24"/>
          <w:szCs w:val="24"/>
        </w:rPr>
        <w:t xml:space="preserve">ομάδες </w:t>
      </w:r>
      <w:r w:rsidR="006A6706" w:rsidRPr="00EB545E">
        <w:rPr>
          <w:rFonts w:ascii="Times New Roman" w:hAnsi="Times New Roman"/>
          <w:bCs/>
          <w:sz w:val="24"/>
          <w:szCs w:val="24"/>
        </w:rPr>
        <w:t xml:space="preserve">ηλικιών </w:t>
      </w:r>
      <w:r w:rsidR="00C8006B" w:rsidRPr="00EB545E">
        <w:rPr>
          <w:rFonts w:ascii="Times New Roman" w:hAnsi="Times New Roman"/>
          <w:bCs/>
          <w:sz w:val="24"/>
          <w:szCs w:val="24"/>
        </w:rPr>
        <w:t>ο κίνδυνος φτώχειας ή αποκλεισμού είναι συγκριτικά μεγαλύτερος για τα άτομα με αναπηρία σε σύγκριση με τον πληθυσμό χωρίς κανέναν περιορισμό</w:t>
      </w:r>
      <w:r w:rsidR="005A5F4F" w:rsidRPr="00EB545E">
        <w:rPr>
          <w:rFonts w:ascii="Times New Roman" w:hAnsi="Times New Roman"/>
          <w:bCs/>
          <w:sz w:val="24"/>
          <w:szCs w:val="24"/>
        </w:rPr>
        <w:t>. Η</w:t>
      </w:r>
      <w:r w:rsidR="00C8006B" w:rsidRPr="00EB545E">
        <w:rPr>
          <w:rFonts w:ascii="Times New Roman" w:hAnsi="Times New Roman"/>
          <w:bCs/>
          <w:sz w:val="24"/>
          <w:szCs w:val="24"/>
        </w:rPr>
        <w:t xml:space="preserve"> διαφορά</w:t>
      </w:r>
      <w:r w:rsidR="007B18CF" w:rsidRPr="00EB545E">
        <w:rPr>
          <w:rFonts w:ascii="Times New Roman" w:hAnsi="Times New Roman"/>
          <w:bCs/>
          <w:sz w:val="24"/>
          <w:szCs w:val="24"/>
        </w:rPr>
        <w:t xml:space="preserve"> αυτή</w:t>
      </w:r>
      <w:r w:rsidR="00C8006B" w:rsidRPr="00EB545E">
        <w:rPr>
          <w:rFonts w:ascii="Times New Roman" w:hAnsi="Times New Roman"/>
          <w:bCs/>
          <w:sz w:val="24"/>
          <w:szCs w:val="24"/>
        </w:rPr>
        <w:t xml:space="preserve"> λαμβάνει τρομακτικές διαστάσεις στις </w:t>
      </w:r>
      <w:r w:rsidR="005A5F4F" w:rsidRPr="00EB545E">
        <w:rPr>
          <w:rFonts w:ascii="Times New Roman" w:hAnsi="Times New Roman"/>
          <w:bCs/>
          <w:sz w:val="24"/>
          <w:szCs w:val="24"/>
        </w:rPr>
        <w:t xml:space="preserve">παραγωγικές </w:t>
      </w:r>
      <w:r w:rsidR="007B18CF" w:rsidRPr="00EB545E">
        <w:rPr>
          <w:rFonts w:ascii="Times New Roman" w:hAnsi="Times New Roman"/>
          <w:bCs/>
          <w:sz w:val="24"/>
          <w:szCs w:val="24"/>
        </w:rPr>
        <w:t>ηλικίες έως 54 ετών</w:t>
      </w:r>
      <w:r w:rsidR="005A5F4F" w:rsidRPr="00EB545E">
        <w:rPr>
          <w:rFonts w:ascii="Times New Roman" w:hAnsi="Times New Roman"/>
          <w:bCs/>
          <w:sz w:val="24"/>
          <w:szCs w:val="24"/>
        </w:rPr>
        <w:t xml:space="preserve">, που στις περισσότερες περιπτώσεις είναι </w:t>
      </w:r>
      <w:r w:rsidR="00C8006B" w:rsidRPr="00EB545E">
        <w:rPr>
          <w:rFonts w:ascii="Times New Roman" w:hAnsi="Times New Roman"/>
          <w:bCs/>
          <w:sz w:val="24"/>
          <w:szCs w:val="24"/>
        </w:rPr>
        <w:t>της τά</w:t>
      </w:r>
      <w:r w:rsidR="005A5F4F" w:rsidRPr="00EB545E">
        <w:rPr>
          <w:rFonts w:ascii="Times New Roman" w:hAnsi="Times New Roman"/>
          <w:bCs/>
          <w:sz w:val="24"/>
          <w:szCs w:val="24"/>
        </w:rPr>
        <w:t>ξεως των 20 ποσοστιαίων μονάδων.</w:t>
      </w:r>
      <w:r w:rsidR="002D2CAB" w:rsidRPr="00EB545E">
        <w:rPr>
          <w:rFonts w:ascii="Times New Roman" w:hAnsi="Times New Roman"/>
          <w:bCs/>
          <w:sz w:val="24"/>
          <w:szCs w:val="24"/>
        </w:rPr>
        <w:t xml:space="preserve"> </w:t>
      </w:r>
    </w:p>
    <w:p w:rsidR="00933A9F" w:rsidRPr="00C72BE0" w:rsidRDefault="00FE17AD" w:rsidP="005A5F4F">
      <w:pPr>
        <w:spacing w:line="276" w:lineRule="auto"/>
        <w:jc w:val="both"/>
        <w:rPr>
          <w:rFonts w:ascii="Times New Roman" w:hAnsi="Times New Roman"/>
          <w:b/>
          <w:bCs/>
          <w:sz w:val="24"/>
          <w:szCs w:val="24"/>
        </w:rPr>
      </w:pPr>
      <w:r w:rsidRPr="00C72BE0">
        <w:rPr>
          <w:rFonts w:ascii="Times New Roman" w:hAnsi="Times New Roman"/>
          <w:b/>
          <w:bCs/>
          <w:sz w:val="24"/>
          <w:szCs w:val="24"/>
        </w:rPr>
        <w:t xml:space="preserve">Αν ομαδοποιήσουμε τις παραγωγικές ηλικίες 16-64 και εξετάσουμε τον δείκτη ανά </w:t>
      </w:r>
      <w:r w:rsidR="007B18CF" w:rsidRPr="00C72BE0">
        <w:rPr>
          <w:rFonts w:ascii="Times New Roman" w:hAnsi="Times New Roman"/>
          <w:b/>
          <w:bCs/>
          <w:sz w:val="24"/>
          <w:szCs w:val="24"/>
        </w:rPr>
        <w:t>κατάσταση</w:t>
      </w:r>
      <w:r w:rsidRPr="00C72BE0">
        <w:rPr>
          <w:rFonts w:ascii="Times New Roman" w:hAnsi="Times New Roman"/>
          <w:b/>
          <w:bCs/>
          <w:sz w:val="24"/>
          <w:szCs w:val="24"/>
        </w:rPr>
        <w:t xml:space="preserve"> αναπηρίας προκύπτει σημαντική </w:t>
      </w:r>
      <w:r w:rsidR="007B18CF" w:rsidRPr="00C72BE0">
        <w:rPr>
          <w:rFonts w:ascii="Times New Roman" w:hAnsi="Times New Roman"/>
          <w:b/>
          <w:bCs/>
          <w:sz w:val="24"/>
          <w:szCs w:val="24"/>
        </w:rPr>
        <w:t xml:space="preserve">συσχέτιση </w:t>
      </w:r>
      <w:r w:rsidRPr="00C72BE0">
        <w:rPr>
          <w:rFonts w:ascii="Times New Roman" w:hAnsi="Times New Roman"/>
          <w:b/>
          <w:bCs/>
          <w:sz w:val="24"/>
          <w:szCs w:val="24"/>
        </w:rPr>
        <w:t xml:space="preserve">του κινδύνου φτώχειας ή κοινωνικού αποκλεισμού </w:t>
      </w:r>
      <w:r w:rsidR="007B18CF" w:rsidRPr="00C72BE0">
        <w:rPr>
          <w:rFonts w:ascii="Times New Roman" w:hAnsi="Times New Roman"/>
          <w:b/>
          <w:bCs/>
          <w:sz w:val="24"/>
          <w:szCs w:val="24"/>
        </w:rPr>
        <w:t xml:space="preserve">με την βαρύτητα της αναπηρίας. </w:t>
      </w:r>
    </w:p>
    <w:p w:rsidR="00933A9F" w:rsidRPr="00EB545E" w:rsidRDefault="00933A9F" w:rsidP="005A5F4F">
      <w:pPr>
        <w:spacing w:line="276" w:lineRule="auto"/>
        <w:jc w:val="both"/>
        <w:rPr>
          <w:rFonts w:ascii="Times New Roman" w:hAnsi="Times New Roman"/>
          <w:bCs/>
          <w:sz w:val="24"/>
          <w:szCs w:val="24"/>
        </w:rPr>
      </w:pPr>
    </w:p>
    <w:p w:rsidR="00933A9F" w:rsidRPr="00EB545E" w:rsidRDefault="005548C7" w:rsidP="005A5F4F">
      <w:pPr>
        <w:spacing w:line="276" w:lineRule="auto"/>
        <w:jc w:val="both"/>
        <w:rPr>
          <w:rFonts w:ascii="Times New Roman" w:hAnsi="Times New Roman"/>
          <w:bCs/>
          <w:sz w:val="24"/>
          <w:szCs w:val="24"/>
        </w:rPr>
      </w:pPr>
      <w:r w:rsidRPr="0034600F">
        <w:rPr>
          <w:rFonts w:ascii="Times New Roman" w:hAnsi="Times New Roman"/>
          <w:noProof/>
          <w:sz w:val="24"/>
          <w:szCs w:val="24"/>
          <w:lang w:eastAsia="el-GR"/>
        </w:rPr>
        <w:drawing>
          <wp:inline distT="0" distB="0" distL="0" distR="0">
            <wp:extent cx="5262245" cy="2740025"/>
            <wp:effectExtent l="0" t="0" r="14605" b="3175"/>
            <wp:docPr id="2" name="Γράφημα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D44B14" w:rsidRPr="00EB545E" w:rsidRDefault="007B18CF" w:rsidP="00EB545E">
      <w:pPr>
        <w:jc w:val="both"/>
        <w:rPr>
          <w:rFonts w:ascii="Times New Roman" w:hAnsi="Times New Roman"/>
          <w:b/>
          <w:sz w:val="24"/>
          <w:szCs w:val="24"/>
        </w:rPr>
      </w:pPr>
      <w:r w:rsidRPr="00EB545E">
        <w:rPr>
          <w:rFonts w:ascii="Times New Roman" w:hAnsi="Times New Roman"/>
          <w:b/>
          <w:bCs/>
          <w:sz w:val="24"/>
          <w:szCs w:val="24"/>
        </w:rPr>
        <w:t>Σ</w:t>
      </w:r>
      <w:r w:rsidR="00FE17AD" w:rsidRPr="00EB545E">
        <w:rPr>
          <w:rFonts w:ascii="Times New Roman" w:hAnsi="Times New Roman"/>
          <w:b/>
          <w:bCs/>
          <w:sz w:val="24"/>
          <w:szCs w:val="24"/>
        </w:rPr>
        <w:t>το φάσμα της φτώχειας και του αποκλεισμού βρίσκονται οι 6 στους 10 πολίτες με σοβαρή αναπηρία και οι 5 στους 10 με μέτριο περιορισμό δραστηριότητας στις ηλικίες από 16 έως 64 ετών.</w:t>
      </w:r>
    </w:p>
    <w:p w:rsidR="00FE17AD" w:rsidRPr="00EB545E" w:rsidRDefault="00163C45" w:rsidP="001F2DCC">
      <w:pPr>
        <w:spacing w:line="276" w:lineRule="auto"/>
        <w:jc w:val="both"/>
        <w:rPr>
          <w:rFonts w:ascii="Times New Roman" w:hAnsi="Times New Roman"/>
          <w:bCs/>
          <w:sz w:val="24"/>
          <w:szCs w:val="24"/>
        </w:rPr>
      </w:pPr>
      <w:r w:rsidRPr="00EB545E">
        <w:rPr>
          <w:rFonts w:ascii="Times New Roman" w:hAnsi="Times New Roman"/>
          <w:bCs/>
          <w:sz w:val="24"/>
          <w:szCs w:val="24"/>
        </w:rPr>
        <w:t>Τ</w:t>
      </w:r>
      <w:r w:rsidR="00634462" w:rsidRPr="00EB545E">
        <w:rPr>
          <w:rFonts w:ascii="Times New Roman" w:hAnsi="Times New Roman"/>
          <w:bCs/>
          <w:sz w:val="24"/>
          <w:szCs w:val="24"/>
        </w:rPr>
        <w:t>α σοκαριστικά αυτά στοιχεία που για πρώτη φορά στην Ελλάδα έρχονται στο φως της δημοσιότητας από την ΕΣΑμεΑ</w:t>
      </w:r>
      <w:r w:rsidR="00D44B14" w:rsidRPr="00EB545E">
        <w:rPr>
          <w:rFonts w:ascii="Times New Roman" w:hAnsi="Times New Roman"/>
          <w:bCs/>
          <w:sz w:val="24"/>
          <w:szCs w:val="24"/>
        </w:rPr>
        <w:t xml:space="preserve"> και το Παρατηρητήριο Θεμάτων Αναπηρίας της ΕΣΑμεΑ</w:t>
      </w:r>
      <w:r w:rsidR="00634462" w:rsidRPr="00EB545E">
        <w:rPr>
          <w:rFonts w:ascii="Times New Roman" w:hAnsi="Times New Roman"/>
          <w:bCs/>
          <w:sz w:val="24"/>
          <w:szCs w:val="24"/>
        </w:rPr>
        <w:t>, επιβεβαιώνουν την άρρηκτη σχέση της αναπηρίας με τη φτώχεια</w:t>
      </w:r>
      <w:r w:rsidRPr="00EB545E">
        <w:rPr>
          <w:rFonts w:ascii="Times New Roman" w:hAnsi="Times New Roman"/>
          <w:bCs/>
          <w:sz w:val="24"/>
          <w:szCs w:val="24"/>
        </w:rPr>
        <w:t xml:space="preserve">, παρότι παρουσιάζουν μια πιο </w:t>
      </w:r>
      <w:r w:rsidR="00634462" w:rsidRPr="00EB545E">
        <w:rPr>
          <w:rFonts w:ascii="Times New Roman" w:hAnsi="Times New Roman"/>
          <w:bCs/>
          <w:sz w:val="24"/>
          <w:szCs w:val="24"/>
        </w:rPr>
        <w:t>«αισιόδοξη»</w:t>
      </w:r>
      <w:r w:rsidRPr="00EB545E">
        <w:rPr>
          <w:rFonts w:ascii="Times New Roman" w:hAnsi="Times New Roman"/>
          <w:bCs/>
          <w:sz w:val="24"/>
          <w:szCs w:val="24"/>
        </w:rPr>
        <w:t xml:space="preserve"> εικόνα </w:t>
      </w:r>
      <w:r w:rsidR="00634462" w:rsidRPr="00EB545E">
        <w:rPr>
          <w:rFonts w:ascii="Times New Roman" w:hAnsi="Times New Roman"/>
          <w:bCs/>
          <w:sz w:val="24"/>
          <w:szCs w:val="24"/>
        </w:rPr>
        <w:t>των μεγεθών της φτώχειας</w:t>
      </w:r>
      <w:r w:rsidR="008E54F5" w:rsidRPr="00EB545E">
        <w:rPr>
          <w:rFonts w:ascii="Times New Roman" w:hAnsi="Times New Roman"/>
          <w:bCs/>
          <w:sz w:val="24"/>
          <w:szCs w:val="24"/>
        </w:rPr>
        <w:t xml:space="preserve"> και του κοινωνικού αποκλεισμού στον πληθυσμό των ατόμων με αναπηρία. </w:t>
      </w:r>
    </w:p>
    <w:p w:rsidR="00814A02" w:rsidRPr="00EB545E" w:rsidRDefault="000501F9" w:rsidP="001F2DCC">
      <w:pPr>
        <w:jc w:val="both"/>
        <w:rPr>
          <w:rFonts w:ascii="Times New Roman" w:hAnsi="Times New Roman"/>
          <w:sz w:val="24"/>
          <w:szCs w:val="24"/>
        </w:rPr>
      </w:pPr>
      <w:r w:rsidRPr="00EB545E">
        <w:rPr>
          <w:rFonts w:ascii="Times New Roman" w:hAnsi="Times New Roman"/>
          <w:bCs/>
          <w:sz w:val="24"/>
          <w:szCs w:val="24"/>
        </w:rPr>
        <w:t xml:space="preserve">Αναλυτικότερα, </w:t>
      </w:r>
      <w:r w:rsidR="00814A02" w:rsidRPr="007A48B9">
        <w:rPr>
          <w:rFonts w:ascii="Times New Roman" w:hAnsi="Times New Roman"/>
          <w:b/>
          <w:bCs/>
          <w:sz w:val="24"/>
          <w:szCs w:val="24"/>
        </w:rPr>
        <w:t xml:space="preserve">ο </w:t>
      </w:r>
      <w:r w:rsidR="007A48B9" w:rsidRPr="007A48B9">
        <w:rPr>
          <w:rFonts w:ascii="Times New Roman" w:hAnsi="Times New Roman"/>
          <w:b/>
          <w:bCs/>
          <w:sz w:val="24"/>
          <w:szCs w:val="24"/>
        </w:rPr>
        <w:t>«</w:t>
      </w:r>
      <w:r w:rsidR="00814A02" w:rsidRPr="007A48B9">
        <w:rPr>
          <w:rFonts w:ascii="Times New Roman" w:hAnsi="Times New Roman"/>
          <w:b/>
          <w:bCs/>
          <w:sz w:val="24"/>
          <w:szCs w:val="24"/>
        </w:rPr>
        <w:t xml:space="preserve">υπο-δείκτης </w:t>
      </w:r>
      <w:r w:rsidR="00D65DAC" w:rsidRPr="007A48B9">
        <w:rPr>
          <w:rFonts w:ascii="Times New Roman" w:hAnsi="Times New Roman"/>
          <w:b/>
          <w:sz w:val="24"/>
          <w:szCs w:val="24"/>
        </w:rPr>
        <w:t>κινδύνου φτώχειας</w:t>
      </w:r>
      <w:r w:rsidR="007A48B9" w:rsidRPr="007A48B9">
        <w:rPr>
          <w:rFonts w:ascii="Times New Roman" w:hAnsi="Times New Roman"/>
          <w:b/>
          <w:sz w:val="24"/>
          <w:szCs w:val="24"/>
        </w:rPr>
        <w:t>»</w:t>
      </w:r>
      <w:r w:rsidR="00814A02" w:rsidRPr="007A48B9">
        <w:rPr>
          <w:rFonts w:ascii="Times New Roman" w:hAnsi="Times New Roman"/>
          <w:b/>
          <w:sz w:val="24"/>
          <w:szCs w:val="24"/>
        </w:rPr>
        <w:t>,</w:t>
      </w:r>
      <w:r w:rsidR="00814A02" w:rsidRPr="00EB545E">
        <w:rPr>
          <w:rFonts w:ascii="Times New Roman" w:hAnsi="Times New Roman"/>
          <w:b/>
          <w:sz w:val="24"/>
          <w:szCs w:val="24"/>
        </w:rPr>
        <w:t xml:space="preserve"> </w:t>
      </w:r>
      <w:r w:rsidR="00441755" w:rsidRPr="00EB545E">
        <w:rPr>
          <w:rFonts w:ascii="Times New Roman" w:hAnsi="Times New Roman"/>
          <w:b/>
          <w:sz w:val="24"/>
          <w:szCs w:val="24"/>
        </w:rPr>
        <w:t xml:space="preserve">υποεκτιμά το μέγεθος του πληθυσμού </w:t>
      </w:r>
      <w:r w:rsidR="00D65DAC" w:rsidRPr="00EB545E">
        <w:rPr>
          <w:rFonts w:ascii="Times New Roman" w:hAnsi="Times New Roman"/>
          <w:b/>
          <w:sz w:val="24"/>
          <w:szCs w:val="24"/>
        </w:rPr>
        <w:t>των ατόμων με αναπηρία που</w:t>
      </w:r>
      <w:r w:rsidR="00814A02" w:rsidRPr="00EB545E">
        <w:rPr>
          <w:rFonts w:ascii="Times New Roman" w:hAnsi="Times New Roman"/>
          <w:b/>
          <w:sz w:val="24"/>
          <w:szCs w:val="24"/>
        </w:rPr>
        <w:t xml:space="preserve"> διαβιούν σε συνθήκες φτώχειας, διότι </w:t>
      </w:r>
      <w:r w:rsidR="00814A02" w:rsidRPr="00EB545E">
        <w:rPr>
          <w:rFonts w:ascii="Times New Roman" w:hAnsi="Times New Roman"/>
          <w:sz w:val="24"/>
          <w:szCs w:val="24"/>
        </w:rPr>
        <w:t>μετρά</w:t>
      </w:r>
      <w:r w:rsidR="00D65DAC" w:rsidRPr="00EB545E">
        <w:rPr>
          <w:rFonts w:ascii="Times New Roman" w:hAnsi="Times New Roman"/>
          <w:sz w:val="24"/>
          <w:szCs w:val="24"/>
        </w:rPr>
        <w:t xml:space="preserve"> τη σχετική εισοδηματική φτώχεια του πληθυσμού αναφορικά με ένα κυμαινόμενο κατώφλι φτώχειας,</w:t>
      </w:r>
      <w:r w:rsidR="00814A02" w:rsidRPr="00EB545E">
        <w:rPr>
          <w:rFonts w:ascii="Times New Roman" w:hAnsi="Times New Roman"/>
          <w:sz w:val="24"/>
          <w:szCs w:val="24"/>
        </w:rPr>
        <w:t xml:space="preserve"> το οποίο στην Ελλάδα της κρίσης έχει συμπιεστεί προς τα κάτω λόγω της </w:t>
      </w:r>
      <w:r w:rsidR="00D65DAC" w:rsidRPr="00EB545E">
        <w:rPr>
          <w:rFonts w:ascii="Times New Roman" w:hAnsi="Times New Roman"/>
          <w:sz w:val="24"/>
          <w:szCs w:val="24"/>
        </w:rPr>
        <w:t>συνολική</w:t>
      </w:r>
      <w:r w:rsidR="00814A02" w:rsidRPr="00EB545E">
        <w:rPr>
          <w:rFonts w:ascii="Times New Roman" w:hAnsi="Times New Roman"/>
          <w:sz w:val="24"/>
          <w:szCs w:val="24"/>
        </w:rPr>
        <w:t>ς</w:t>
      </w:r>
      <w:r w:rsidR="00D65DAC" w:rsidRPr="00EB545E">
        <w:rPr>
          <w:rFonts w:ascii="Times New Roman" w:hAnsi="Times New Roman"/>
          <w:sz w:val="24"/>
          <w:szCs w:val="24"/>
        </w:rPr>
        <w:t xml:space="preserve"> φτωχοποίηση</w:t>
      </w:r>
      <w:r w:rsidR="00814A02" w:rsidRPr="00EB545E">
        <w:rPr>
          <w:rFonts w:ascii="Times New Roman" w:hAnsi="Times New Roman"/>
          <w:sz w:val="24"/>
          <w:szCs w:val="24"/>
        </w:rPr>
        <w:t>ς</w:t>
      </w:r>
      <w:r w:rsidR="00D65DAC" w:rsidRPr="00EB545E">
        <w:rPr>
          <w:rFonts w:ascii="Times New Roman" w:hAnsi="Times New Roman"/>
          <w:sz w:val="24"/>
          <w:szCs w:val="24"/>
        </w:rPr>
        <w:t xml:space="preserve"> του πληθυσμού</w:t>
      </w:r>
      <w:r w:rsidR="00D65DAC" w:rsidRPr="00EB545E">
        <w:rPr>
          <w:rStyle w:val="a5"/>
          <w:rFonts w:ascii="Times New Roman" w:hAnsi="Times New Roman"/>
          <w:sz w:val="24"/>
          <w:szCs w:val="24"/>
        </w:rPr>
        <w:footnoteReference w:id="1"/>
      </w:r>
      <w:r w:rsidR="00814A02" w:rsidRPr="00EB545E">
        <w:rPr>
          <w:rFonts w:ascii="Times New Roman" w:hAnsi="Times New Roman"/>
          <w:sz w:val="24"/>
          <w:szCs w:val="24"/>
        </w:rPr>
        <w:t>.</w:t>
      </w:r>
    </w:p>
    <w:p w:rsidR="00C72BE0" w:rsidRDefault="00D65DAC" w:rsidP="00043EF8">
      <w:pPr>
        <w:jc w:val="both"/>
        <w:rPr>
          <w:rFonts w:ascii="Times New Roman" w:hAnsi="Times New Roman"/>
          <w:sz w:val="24"/>
          <w:szCs w:val="24"/>
        </w:rPr>
      </w:pPr>
      <w:r w:rsidRPr="00EB545E">
        <w:rPr>
          <w:rFonts w:ascii="Times New Roman" w:hAnsi="Times New Roman"/>
          <w:sz w:val="24"/>
          <w:szCs w:val="24"/>
        </w:rPr>
        <w:t xml:space="preserve">Ειδικότερα για </w:t>
      </w:r>
      <w:r w:rsidR="00441755" w:rsidRPr="00EB545E">
        <w:rPr>
          <w:rFonts w:ascii="Times New Roman" w:hAnsi="Times New Roman"/>
          <w:sz w:val="24"/>
          <w:szCs w:val="24"/>
        </w:rPr>
        <w:t>τα άτομα</w:t>
      </w:r>
      <w:r w:rsidRPr="00EB545E">
        <w:rPr>
          <w:rFonts w:ascii="Times New Roman" w:hAnsi="Times New Roman"/>
          <w:sz w:val="24"/>
          <w:szCs w:val="24"/>
        </w:rPr>
        <w:t xml:space="preserve"> με αναπηρία θα πρέπει να </w:t>
      </w:r>
      <w:r w:rsidR="008F34F3" w:rsidRPr="00EB545E">
        <w:rPr>
          <w:rFonts w:ascii="Times New Roman" w:hAnsi="Times New Roman"/>
          <w:sz w:val="24"/>
          <w:szCs w:val="24"/>
        </w:rPr>
        <w:t>τονιστεί</w:t>
      </w:r>
      <w:r w:rsidRPr="00EB545E">
        <w:rPr>
          <w:rFonts w:ascii="Times New Roman" w:hAnsi="Times New Roman"/>
          <w:sz w:val="24"/>
          <w:szCs w:val="24"/>
        </w:rPr>
        <w:t xml:space="preserve"> ότι </w:t>
      </w:r>
      <w:r w:rsidR="00441755" w:rsidRPr="00EB545E">
        <w:rPr>
          <w:rFonts w:ascii="Times New Roman" w:hAnsi="Times New Roman"/>
          <w:sz w:val="24"/>
          <w:szCs w:val="24"/>
        </w:rPr>
        <w:t xml:space="preserve">αυτά </w:t>
      </w:r>
      <w:r w:rsidR="000B16E0" w:rsidRPr="00EB545E">
        <w:rPr>
          <w:rFonts w:ascii="Times New Roman" w:hAnsi="Times New Roman"/>
          <w:sz w:val="24"/>
          <w:szCs w:val="24"/>
        </w:rPr>
        <w:t xml:space="preserve">αντιμετωπίζουν </w:t>
      </w:r>
      <w:r w:rsidRPr="00EB545E">
        <w:rPr>
          <w:rFonts w:ascii="Times New Roman" w:hAnsi="Times New Roman"/>
          <w:sz w:val="24"/>
          <w:szCs w:val="24"/>
        </w:rPr>
        <w:t>ένα πρόσθετο κόστος διαβίωσης</w:t>
      </w:r>
      <w:r w:rsidR="000B16E0" w:rsidRPr="00EB545E">
        <w:rPr>
          <w:rFonts w:ascii="Times New Roman" w:hAnsi="Times New Roman"/>
          <w:sz w:val="24"/>
          <w:szCs w:val="24"/>
        </w:rPr>
        <w:t xml:space="preserve"> για την </w:t>
      </w:r>
      <w:r w:rsidR="00441755" w:rsidRPr="00EB545E">
        <w:rPr>
          <w:rFonts w:ascii="Times New Roman" w:hAnsi="Times New Roman"/>
          <w:sz w:val="24"/>
          <w:szCs w:val="24"/>
        </w:rPr>
        <w:t xml:space="preserve">κάλυψη εξειδικευμένων αναγκών που απορρέουν από την </w:t>
      </w:r>
      <w:r w:rsidR="00DA4C5D" w:rsidRPr="00EB545E">
        <w:rPr>
          <w:rFonts w:ascii="Times New Roman" w:hAnsi="Times New Roman"/>
          <w:sz w:val="24"/>
          <w:szCs w:val="24"/>
        </w:rPr>
        <w:t>αναπηρία</w:t>
      </w:r>
      <w:r w:rsidRPr="00EB545E">
        <w:rPr>
          <w:rFonts w:ascii="Times New Roman" w:hAnsi="Times New Roman"/>
          <w:sz w:val="24"/>
          <w:szCs w:val="24"/>
        </w:rPr>
        <w:t xml:space="preserve">. Συνεπώς το γενικώς οριζόμενο κατώφλι φτώχειας </w:t>
      </w:r>
      <w:r w:rsidR="000B16E0" w:rsidRPr="00EB545E">
        <w:rPr>
          <w:rFonts w:ascii="Times New Roman" w:hAnsi="Times New Roman"/>
          <w:sz w:val="24"/>
          <w:szCs w:val="24"/>
        </w:rPr>
        <w:t xml:space="preserve">δεν </w:t>
      </w:r>
      <w:r w:rsidR="000B16E0" w:rsidRPr="00EB545E">
        <w:rPr>
          <w:rFonts w:ascii="Times New Roman" w:hAnsi="Times New Roman"/>
          <w:sz w:val="24"/>
          <w:szCs w:val="24"/>
        </w:rPr>
        <w:lastRenderedPageBreak/>
        <w:t xml:space="preserve">μπορεί να αποτελεί έγκυρο δείκτη αποτύπωσης της </w:t>
      </w:r>
      <w:r w:rsidRPr="00EB545E">
        <w:rPr>
          <w:rFonts w:ascii="Times New Roman" w:hAnsi="Times New Roman"/>
          <w:sz w:val="24"/>
          <w:szCs w:val="24"/>
        </w:rPr>
        <w:t>φτωχοποίηση</w:t>
      </w:r>
      <w:r w:rsidR="000B16E0" w:rsidRPr="00EB545E">
        <w:rPr>
          <w:rFonts w:ascii="Times New Roman" w:hAnsi="Times New Roman"/>
          <w:sz w:val="24"/>
          <w:szCs w:val="24"/>
        </w:rPr>
        <w:t>ς</w:t>
      </w:r>
      <w:r w:rsidR="006712B7" w:rsidRPr="00EB545E">
        <w:rPr>
          <w:rFonts w:ascii="Times New Roman" w:hAnsi="Times New Roman"/>
          <w:sz w:val="24"/>
          <w:szCs w:val="24"/>
        </w:rPr>
        <w:t xml:space="preserve"> </w:t>
      </w:r>
      <w:r w:rsidR="00A25E27" w:rsidRPr="00EB545E">
        <w:rPr>
          <w:rFonts w:ascii="Times New Roman" w:hAnsi="Times New Roman"/>
          <w:sz w:val="24"/>
          <w:szCs w:val="24"/>
        </w:rPr>
        <w:t>αυτής της ομάδας του πληθυσμού</w:t>
      </w:r>
      <w:r w:rsidR="00BA4230" w:rsidRPr="00EB545E">
        <w:rPr>
          <w:rFonts w:ascii="Times New Roman" w:hAnsi="Times New Roman"/>
          <w:sz w:val="24"/>
          <w:szCs w:val="24"/>
        </w:rPr>
        <w:t>.</w:t>
      </w:r>
      <w:r w:rsidR="00EB545E">
        <w:rPr>
          <w:rFonts w:ascii="Times New Roman" w:hAnsi="Times New Roman"/>
          <w:sz w:val="24"/>
          <w:szCs w:val="24"/>
        </w:rPr>
        <w:t xml:space="preserve"> </w:t>
      </w:r>
    </w:p>
    <w:p w:rsidR="00C72BE0" w:rsidRDefault="00BA4230" w:rsidP="00043EF8">
      <w:pPr>
        <w:jc w:val="both"/>
        <w:rPr>
          <w:rFonts w:ascii="Times New Roman" w:hAnsi="Times New Roman"/>
          <w:sz w:val="24"/>
          <w:szCs w:val="24"/>
        </w:rPr>
      </w:pPr>
      <w:r w:rsidRPr="00EB545E">
        <w:rPr>
          <w:rFonts w:ascii="Times New Roman" w:hAnsi="Times New Roman"/>
          <w:sz w:val="24"/>
          <w:szCs w:val="24"/>
        </w:rPr>
        <w:t xml:space="preserve">Είναι επομένως περισσότερο εύλογο να εξετάζουμε τον </w:t>
      </w:r>
      <w:r w:rsidR="007A48B9">
        <w:rPr>
          <w:rFonts w:ascii="Times New Roman" w:hAnsi="Times New Roman"/>
          <w:sz w:val="24"/>
          <w:szCs w:val="24"/>
        </w:rPr>
        <w:t>«</w:t>
      </w:r>
      <w:r w:rsidRPr="00EB545E">
        <w:rPr>
          <w:rFonts w:ascii="Times New Roman" w:hAnsi="Times New Roman"/>
          <w:sz w:val="24"/>
          <w:szCs w:val="24"/>
        </w:rPr>
        <w:t>υπο-δείκτη κινδύνου φτώχειας</w:t>
      </w:r>
      <w:r w:rsidR="007A48B9">
        <w:rPr>
          <w:rFonts w:ascii="Times New Roman" w:hAnsi="Times New Roman"/>
          <w:sz w:val="24"/>
          <w:szCs w:val="24"/>
        </w:rPr>
        <w:t>»</w:t>
      </w:r>
      <w:r w:rsidRPr="00EB545E">
        <w:rPr>
          <w:rFonts w:ascii="Times New Roman" w:hAnsi="Times New Roman"/>
          <w:sz w:val="24"/>
          <w:szCs w:val="24"/>
        </w:rPr>
        <w:t xml:space="preserve"> στον πληθυσμό των ατόμων με αναπηρία, αφαιρώντας από το </w:t>
      </w:r>
      <w:r w:rsidR="00A25E27" w:rsidRPr="00EB545E">
        <w:rPr>
          <w:rFonts w:ascii="Times New Roman" w:hAnsi="Times New Roman"/>
          <w:sz w:val="24"/>
          <w:szCs w:val="24"/>
        </w:rPr>
        <w:t xml:space="preserve">διαθέσιμο εισόδημα </w:t>
      </w:r>
      <w:r w:rsidR="004C1EEC" w:rsidRPr="00EB545E">
        <w:rPr>
          <w:rFonts w:ascii="Times New Roman" w:hAnsi="Times New Roman"/>
          <w:sz w:val="24"/>
          <w:szCs w:val="24"/>
        </w:rPr>
        <w:t xml:space="preserve">τα επιδόματα αναπηρίας (προνοιακά επιδόματα, εξωιδρυματικό επίδομα, επίδομα κίνησης, επίδομα νεφροπαθών και μεταμοσχευμένων κ.τ.λ.), τα οποία -δεδομένης της ανυπαρξίας άλλων κρατικών παροχών και υποδομών- </w:t>
      </w:r>
      <w:r w:rsidR="00A25E27" w:rsidRPr="00EB545E">
        <w:rPr>
          <w:rFonts w:ascii="Times New Roman" w:hAnsi="Times New Roman"/>
          <w:sz w:val="24"/>
          <w:szCs w:val="24"/>
        </w:rPr>
        <w:t xml:space="preserve">παρέχονται </w:t>
      </w:r>
      <w:r w:rsidR="004C1EEC" w:rsidRPr="00EB545E">
        <w:rPr>
          <w:rFonts w:ascii="Times New Roman" w:hAnsi="Times New Roman"/>
          <w:sz w:val="24"/>
          <w:szCs w:val="24"/>
        </w:rPr>
        <w:t xml:space="preserve">για την κάλυψη </w:t>
      </w:r>
      <w:r w:rsidRPr="00EB545E">
        <w:rPr>
          <w:rFonts w:ascii="Times New Roman" w:hAnsi="Times New Roman"/>
          <w:sz w:val="24"/>
          <w:szCs w:val="24"/>
        </w:rPr>
        <w:t>του πρόσθετου κόστους διαβίωσης.</w:t>
      </w:r>
      <w:r w:rsidR="00EB545E">
        <w:rPr>
          <w:rFonts w:ascii="Times New Roman" w:hAnsi="Times New Roman"/>
          <w:sz w:val="24"/>
          <w:szCs w:val="24"/>
        </w:rPr>
        <w:t xml:space="preserve"> </w:t>
      </w:r>
    </w:p>
    <w:p w:rsidR="00043EF8" w:rsidRPr="00EB545E" w:rsidRDefault="00BA4230" w:rsidP="00043EF8">
      <w:pPr>
        <w:jc w:val="both"/>
        <w:rPr>
          <w:rFonts w:ascii="Times New Roman" w:hAnsi="Times New Roman"/>
          <w:sz w:val="24"/>
          <w:szCs w:val="24"/>
        </w:rPr>
      </w:pPr>
      <w:r w:rsidRPr="00EB545E">
        <w:rPr>
          <w:rFonts w:ascii="Times New Roman" w:hAnsi="Times New Roman"/>
          <w:sz w:val="24"/>
          <w:szCs w:val="24"/>
        </w:rPr>
        <w:t xml:space="preserve">Η προστασία από την φτώχεια που παρέχουν οι κοινωνικές μεταβιβάσεις στα άτομα με αναπηρία είναι καταλυτικής σημασίας. </w:t>
      </w:r>
      <w:r w:rsidR="00043EF8" w:rsidRPr="00EB545E">
        <w:rPr>
          <w:rFonts w:ascii="Times New Roman" w:hAnsi="Times New Roman"/>
          <w:sz w:val="24"/>
          <w:szCs w:val="24"/>
        </w:rPr>
        <w:t>Στο διάγραμμα που ακολουθεί, τα στοιχεία επιβεβαιώνουν την αδήριτη αναγκαιότητα των κοινωνικών μεταβιβάσεων, και ειδικότερα των επιδομάτων και των συντάξεων αναπηρίας ως διορθωτικών παρεμβάσεων στις δομικές ανισότητες που αντιμετωπίζουν τα άτομα με αναπηρία και οι οικογένειές τους.</w:t>
      </w:r>
    </w:p>
    <w:p w:rsidR="00643F37" w:rsidRPr="00EB545E" w:rsidRDefault="00643F37" w:rsidP="00056BAF">
      <w:pPr>
        <w:jc w:val="both"/>
        <w:rPr>
          <w:rFonts w:ascii="Times New Roman" w:hAnsi="Times New Roman"/>
          <w:sz w:val="24"/>
          <w:szCs w:val="24"/>
        </w:rPr>
      </w:pPr>
      <w:r w:rsidRPr="00EB545E">
        <w:rPr>
          <w:rFonts w:ascii="Times New Roman" w:hAnsi="Times New Roman"/>
          <w:sz w:val="24"/>
          <w:szCs w:val="24"/>
        </w:rPr>
        <w:t xml:space="preserve">Ειδικότερα στον πληθυσμό των ατόμων με </w:t>
      </w:r>
      <w:r w:rsidR="00D46814" w:rsidRPr="00EB545E">
        <w:rPr>
          <w:rFonts w:ascii="Times New Roman" w:hAnsi="Times New Roman"/>
          <w:sz w:val="24"/>
          <w:szCs w:val="24"/>
        </w:rPr>
        <w:t xml:space="preserve">σοβαρή </w:t>
      </w:r>
      <w:r w:rsidRPr="00EB545E">
        <w:rPr>
          <w:rFonts w:ascii="Times New Roman" w:hAnsi="Times New Roman"/>
          <w:sz w:val="24"/>
          <w:szCs w:val="24"/>
        </w:rPr>
        <w:t>αναπηρία</w:t>
      </w:r>
      <w:r w:rsidR="00D46814" w:rsidRPr="00EB545E">
        <w:rPr>
          <w:rFonts w:ascii="Times New Roman" w:hAnsi="Times New Roman"/>
          <w:sz w:val="24"/>
          <w:szCs w:val="24"/>
        </w:rPr>
        <w:t xml:space="preserve"> 16-64 ετών</w:t>
      </w:r>
      <w:r w:rsidR="00056BAF" w:rsidRPr="00EB545E">
        <w:rPr>
          <w:rFonts w:ascii="Times New Roman" w:hAnsi="Times New Roman"/>
          <w:sz w:val="24"/>
          <w:szCs w:val="24"/>
        </w:rPr>
        <w:t xml:space="preserve">, το ποσοστό κινδύνου φτώχειας </w:t>
      </w:r>
      <w:r w:rsidR="00D46814" w:rsidRPr="00EB545E">
        <w:rPr>
          <w:rFonts w:ascii="Times New Roman" w:hAnsi="Times New Roman"/>
          <w:sz w:val="24"/>
          <w:szCs w:val="24"/>
        </w:rPr>
        <w:t>με</w:t>
      </w:r>
      <w:r w:rsidR="00056BAF" w:rsidRPr="00EB545E">
        <w:rPr>
          <w:rFonts w:ascii="Times New Roman" w:hAnsi="Times New Roman"/>
          <w:sz w:val="24"/>
          <w:szCs w:val="24"/>
        </w:rPr>
        <w:t xml:space="preserve"> τις κοινωνικές μεταβιβάσεις (</w:t>
      </w:r>
      <w:r w:rsidR="00D46814" w:rsidRPr="00EB545E">
        <w:rPr>
          <w:rFonts w:ascii="Times New Roman" w:hAnsi="Times New Roman"/>
          <w:sz w:val="24"/>
          <w:szCs w:val="24"/>
        </w:rPr>
        <w:t>δηλαδή συμπεριλαμβανομένων στο</w:t>
      </w:r>
      <w:r w:rsidR="00056BAF" w:rsidRPr="00EB545E">
        <w:rPr>
          <w:rFonts w:ascii="Times New Roman" w:hAnsi="Times New Roman"/>
          <w:sz w:val="24"/>
          <w:szCs w:val="24"/>
        </w:rPr>
        <w:t xml:space="preserve"> εισόδημα </w:t>
      </w:r>
      <w:r w:rsidR="00D46814" w:rsidRPr="00EB545E">
        <w:rPr>
          <w:rFonts w:ascii="Times New Roman" w:hAnsi="Times New Roman"/>
          <w:sz w:val="24"/>
          <w:szCs w:val="24"/>
        </w:rPr>
        <w:t>των επιδομάτων και συντάξεων</w:t>
      </w:r>
      <w:r w:rsidR="00056BAF" w:rsidRPr="00EB545E">
        <w:rPr>
          <w:rFonts w:ascii="Times New Roman" w:hAnsi="Times New Roman"/>
          <w:sz w:val="24"/>
          <w:szCs w:val="24"/>
        </w:rPr>
        <w:t xml:space="preserve">) </w:t>
      </w:r>
      <w:r w:rsidR="00D46814" w:rsidRPr="00EB545E">
        <w:rPr>
          <w:rFonts w:ascii="Times New Roman" w:hAnsi="Times New Roman"/>
          <w:sz w:val="24"/>
          <w:szCs w:val="24"/>
        </w:rPr>
        <w:t>από το 24,8%</w:t>
      </w:r>
      <w:r w:rsidR="008347CB" w:rsidRPr="00EB545E">
        <w:rPr>
          <w:rFonts w:ascii="Times New Roman" w:hAnsi="Times New Roman"/>
          <w:sz w:val="24"/>
          <w:szCs w:val="24"/>
        </w:rPr>
        <w:t xml:space="preserve"> </w:t>
      </w:r>
      <w:r w:rsidR="00D46814" w:rsidRPr="00EB545E">
        <w:rPr>
          <w:rFonts w:ascii="Times New Roman" w:hAnsi="Times New Roman"/>
          <w:sz w:val="24"/>
          <w:szCs w:val="24"/>
        </w:rPr>
        <w:t xml:space="preserve">εκτοξεύεται στο </w:t>
      </w:r>
      <w:r w:rsidR="00056BAF" w:rsidRPr="00EB545E">
        <w:rPr>
          <w:rFonts w:ascii="Times New Roman" w:hAnsi="Times New Roman"/>
          <w:sz w:val="24"/>
          <w:szCs w:val="24"/>
        </w:rPr>
        <w:t xml:space="preserve">67% </w:t>
      </w:r>
      <w:r w:rsidR="00D46814" w:rsidRPr="00EB545E">
        <w:rPr>
          <w:rFonts w:ascii="Times New Roman" w:hAnsi="Times New Roman"/>
          <w:sz w:val="24"/>
          <w:szCs w:val="24"/>
        </w:rPr>
        <w:t xml:space="preserve">δίχως τις κοινωνικές μεταβιβάσεις. </w:t>
      </w:r>
    </w:p>
    <w:p w:rsidR="00643F37" w:rsidRPr="00EB545E" w:rsidRDefault="00643F37" w:rsidP="00056BAF">
      <w:pPr>
        <w:jc w:val="both"/>
        <w:rPr>
          <w:rFonts w:ascii="Times New Roman" w:hAnsi="Times New Roman"/>
          <w:sz w:val="24"/>
          <w:szCs w:val="24"/>
        </w:rPr>
      </w:pPr>
    </w:p>
    <w:p w:rsidR="00643F37" w:rsidRPr="00EB545E" w:rsidRDefault="005548C7" w:rsidP="00056BAF">
      <w:pPr>
        <w:jc w:val="both"/>
        <w:rPr>
          <w:rFonts w:ascii="Times New Roman" w:hAnsi="Times New Roman"/>
          <w:sz w:val="24"/>
          <w:szCs w:val="24"/>
        </w:rPr>
      </w:pPr>
      <w:r w:rsidRPr="0034600F">
        <w:rPr>
          <w:rFonts w:ascii="Times New Roman" w:hAnsi="Times New Roman"/>
          <w:noProof/>
          <w:sz w:val="24"/>
          <w:szCs w:val="24"/>
          <w:lang w:eastAsia="el-GR"/>
        </w:rPr>
        <w:drawing>
          <wp:inline distT="0" distB="0" distL="0" distR="0">
            <wp:extent cx="5194935" cy="2668905"/>
            <wp:effectExtent l="0" t="0" r="5715" b="17145"/>
            <wp:docPr id="3" name="Γράφημα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D2214" w:rsidRPr="00EB545E" w:rsidRDefault="007D2214" w:rsidP="00643F37">
      <w:pPr>
        <w:spacing w:line="240" w:lineRule="auto"/>
        <w:jc w:val="both"/>
        <w:rPr>
          <w:rFonts w:ascii="Times New Roman" w:hAnsi="Times New Roman"/>
          <w:sz w:val="24"/>
          <w:szCs w:val="24"/>
        </w:rPr>
      </w:pPr>
    </w:p>
    <w:p w:rsidR="00FA1358" w:rsidRPr="00EB545E" w:rsidRDefault="00FA1358" w:rsidP="00A70A4A">
      <w:pPr>
        <w:jc w:val="both"/>
        <w:rPr>
          <w:rFonts w:ascii="Times New Roman" w:hAnsi="Times New Roman"/>
          <w:sz w:val="24"/>
          <w:szCs w:val="24"/>
        </w:rPr>
      </w:pPr>
      <w:r w:rsidRPr="00EB545E">
        <w:rPr>
          <w:rFonts w:ascii="Times New Roman" w:hAnsi="Times New Roman"/>
          <w:sz w:val="24"/>
          <w:szCs w:val="24"/>
        </w:rPr>
        <w:t xml:space="preserve">Ο </w:t>
      </w:r>
      <w:r w:rsidR="007A48B9">
        <w:rPr>
          <w:rFonts w:ascii="Times New Roman" w:hAnsi="Times New Roman"/>
          <w:sz w:val="24"/>
          <w:szCs w:val="24"/>
        </w:rPr>
        <w:t>«</w:t>
      </w:r>
      <w:r w:rsidRPr="00EB545E">
        <w:rPr>
          <w:rFonts w:ascii="Times New Roman" w:hAnsi="Times New Roman"/>
          <w:sz w:val="24"/>
          <w:szCs w:val="24"/>
        </w:rPr>
        <w:t>δείκτης</w:t>
      </w:r>
      <w:r w:rsidR="00201858" w:rsidRPr="00EB545E">
        <w:rPr>
          <w:rFonts w:ascii="Times New Roman" w:hAnsi="Times New Roman"/>
          <w:sz w:val="24"/>
          <w:szCs w:val="24"/>
        </w:rPr>
        <w:t xml:space="preserve"> </w:t>
      </w:r>
      <w:r w:rsidR="006D6C86">
        <w:rPr>
          <w:rFonts w:ascii="Times New Roman" w:hAnsi="Times New Roman"/>
          <w:sz w:val="24"/>
          <w:szCs w:val="24"/>
        </w:rPr>
        <w:t xml:space="preserve">υλικής </w:t>
      </w:r>
      <w:r w:rsidRPr="00EB545E">
        <w:rPr>
          <w:rFonts w:ascii="Times New Roman" w:hAnsi="Times New Roman"/>
          <w:sz w:val="24"/>
          <w:szCs w:val="24"/>
        </w:rPr>
        <w:t>στέρησης</w:t>
      </w:r>
      <w:r w:rsidR="007A48B9">
        <w:rPr>
          <w:rFonts w:ascii="Times New Roman" w:hAnsi="Times New Roman"/>
          <w:sz w:val="24"/>
          <w:szCs w:val="24"/>
        </w:rPr>
        <w:t>»</w:t>
      </w:r>
      <w:r w:rsidRPr="00EB545E">
        <w:rPr>
          <w:rFonts w:ascii="Times New Roman" w:hAnsi="Times New Roman"/>
          <w:sz w:val="24"/>
          <w:szCs w:val="24"/>
        </w:rPr>
        <w:t xml:space="preserve"> παρότι είναι ιδιαίτερα σημαντικός ως ένα μέτρο </w:t>
      </w:r>
      <w:r w:rsidR="00A70A4A" w:rsidRPr="00EB545E">
        <w:rPr>
          <w:rFonts w:ascii="Times New Roman" w:hAnsi="Times New Roman"/>
          <w:sz w:val="24"/>
          <w:szCs w:val="24"/>
        </w:rPr>
        <w:t xml:space="preserve">προσέγγισης της </w:t>
      </w:r>
      <w:r w:rsidRPr="00EB545E">
        <w:rPr>
          <w:rFonts w:ascii="Times New Roman" w:hAnsi="Times New Roman"/>
          <w:sz w:val="24"/>
          <w:szCs w:val="24"/>
        </w:rPr>
        <w:t>απόλυτης φτώχειας, καθώς αποτυπώνει το ποσοστό του πληθυσμού που στερείται</w:t>
      </w:r>
      <w:r w:rsidR="00A70A4A" w:rsidRPr="00EB545E">
        <w:rPr>
          <w:rFonts w:ascii="Times New Roman" w:hAnsi="Times New Roman"/>
          <w:sz w:val="24"/>
          <w:szCs w:val="24"/>
        </w:rPr>
        <w:t xml:space="preserve"> (λόγω οικονομικής αδυναμίας)</w:t>
      </w:r>
      <w:r w:rsidRPr="00EB545E">
        <w:rPr>
          <w:rFonts w:ascii="Times New Roman" w:hAnsi="Times New Roman"/>
          <w:sz w:val="24"/>
          <w:szCs w:val="24"/>
        </w:rPr>
        <w:t xml:space="preserve"> τουλάχιστον 4 από έναν κατάλογο </w:t>
      </w:r>
      <w:r w:rsidR="00A70A4A" w:rsidRPr="00EB545E">
        <w:rPr>
          <w:rFonts w:ascii="Times New Roman" w:hAnsi="Times New Roman"/>
          <w:sz w:val="24"/>
          <w:szCs w:val="24"/>
        </w:rPr>
        <w:t xml:space="preserve">9 βασικών </w:t>
      </w:r>
      <w:r w:rsidRPr="00EB545E">
        <w:rPr>
          <w:rFonts w:ascii="Times New Roman" w:hAnsi="Times New Roman"/>
          <w:sz w:val="24"/>
          <w:szCs w:val="24"/>
        </w:rPr>
        <w:t>αγαθών και υπηρεσιών</w:t>
      </w:r>
      <w:r w:rsidR="001D2297" w:rsidRPr="00EB545E">
        <w:rPr>
          <w:rFonts w:ascii="Times New Roman" w:hAnsi="Times New Roman"/>
          <w:sz w:val="24"/>
          <w:szCs w:val="24"/>
        </w:rPr>
        <w:t>, υποτιμά</w:t>
      </w:r>
      <w:r w:rsidRPr="00EB545E">
        <w:rPr>
          <w:rFonts w:ascii="Times New Roman" w:hAnsi="Times New Roman"/>
          <w:sz w:val="24"/>
          <w:szCs w:val="24"/>
        </w:rPr>
        <w:t xml:space="preserve"> επίσης </w:t>
      </w:r>
      <w:r w:rsidR="00A70A4A" w:rsidRPr="00EB545E">
        <w:rPr>
          <w:rFonts w:ascii="Times New Roman" w:hAnsi="Times New Roman"/>
          <w:sz w:val="24"/>
          <w:szCs w:val="24"/>
        </w:rPr>
        <w:t xml:space="preserve">την έκταση </w:t>
      </w:r>
      <w:r w:rsidRPr="00EB545E">
        <w:rPr>
          <w:rFonts w:ascii="Times New Roman" w:hAnsi="Times New Roman"/>
          <w:sz w:val="24"/>
          <w:szCs w:val="24"/>
        </w:rPr>
        <w:t>της αποστέρησης στον πληθυσμό των ατόμων με αναπηρία</w:t>
      </w:r>
      <w:r w:rsidR="007A48B9">
        <w:rPr>
          <w:rFonts w:ascii="Times New Roman" w:hAnsi="Times New Roman"/>
          <w:sz w:val="24"/>
          <w:szCs w:val="24"/>
        </w:rPr>
        <w:t>, διότι δ</w:t>
      </w:r>
      <w:r w:rsidR="00E108DA" w:rsidRPr="00EB545E">
        <w:rPr>
          <w:rFonts w:ascii="Times New Roman" w:hAnsi="Times New Roman"/>
          <w:sz w:val="24"/>
          <w:szCs w:val="24"/>
        </w:rPr>
        <w:t xml:space="preserve">εν </w:t>
      </w:r>
      <w:r w:rsidRPr="00EB545E">
        <w:rPr>
          <w:rFonts w:ascii="Times New Roman" w:hAnsi="Times New Roman"/>
          <w:sz w:val="24"/>
          <w:szCs w:val="24"/>
        </w:rPr>
        <w:t>λαμβάνει υπόψη τις ανελαστικές ανάγκες σε εξειδικευμένα αγαθά και υπηρεσίες (υγείας, αποκατάστασης κ.α.</w:t>
      </w:r>
      <w:r w:rsidR="00E108DA" w:rsidRPr="00EB545E">
        <w:rPr>
          <w:rFonts w:ascii="Times New Roman" w:hAnsi="Times New Roman"/>
          <w:sz w:val="24"/>
          <w:szCs w:val="24"/>
        </w:rPr>
        <w:t>) που η μη ικανοποίησή</w:t>
      </w:r>
      <w:r w:rsidRPr="00EB545E">
        <w:rPr>
          <w:rFonts w:ascii="Times New Roman" w:hAnsi="Times New Roman"/>
          <w:sz w:val="24"/>
          <w:szCs w:val="24"/>
        </w:rPr>
        <w:t xml:space="preserve"> </w:t>
      </w:r>
      <w:r w:rsidR="00E108DA" w:rsidRPr="00EB545E">
        <w:rPr>
          <w:rFonts w:ascii="Times New Roman" w:hAnsi="Times New Roman"/>
          <w:sz w:val="24"/>
          <w:szCs w:val="24"/>
        </w:rPr>
        <w:t xml:space="preserve">τους </w:t>
      </w:r>
      <w:r w:rsidR="00C21176" w:rsidRPr="00EB545E">
        <w:rPr>
          <w:rFonts w:ascii="Times New Roman" w:hAnsi="Times New Roman"/>
          <w:sz w:val="24"/>
          <w:szCs w:val="24"/>
        </w:rPr>
        <w:t xml:space="preserve">συνιστά εκ των πραγμάτων </w:t>
      </w:r>
      <w:r w:rsidRPr="00EB545E">
        <w:rPr>
          <w:rFonts w:ascii="Times New Roman" w:hAnsi="Times New Roman"/>
          <w:sz w:val="24"/>
          <w:szCs w:val="24"/>
        </w:rPr>
        <w:t>κατάσταση σημαντικής υλικής αποστέρηση</w:t>
      </w:r>
      <w:r w:rsidR="00B81DDF" w:rsidRPr="00EB545E">
        <w:rPr>
          <w:rFonts w:ascii="Times New Roman" w:hAnsi="Times New Roman"/>
          <w:sz w:val="24"/>
          <w:szCs w:val="24"/>
        </w:rPr>
        <w:t>ς.</w:t>
      </w:r>
    </w:p>
    <w:p w:rsidR="00FA1358" w:rsidRPr="00EB545E" w:rsidRDefault="0065001A" w:rsidP="00EF5918">
      <w:pPr>
        <w:jc w:val="both"/>
        <w:rPr>
          <w:rFonts w:ascii="Times New Roman" w:hAnsi="Times New Roman"/>
          <w:sz w:val="24"/>
          <w:szCs w:val="24"/>
        </w:rPr>
      </w:pPr>
      <w:r w:rsidRPr="00EB545E">
        <w:rPr>
          <w:rFonts w:ascii="Times New Roman" w:hAnsi="Times New Roman"/>
          <w:sz w:val="24"/>
          <w:szCs w:val="24"/>
        </w:rPr>
        <w:lastRenderedPageBreak/>
        <w:t xml:space="preserve">Παρόλαυτα, </w:t>
      </w:r>
      <w:r w:rsidR="000871B3" w:rsidRPr="00EB545E">
        <w:rPr>
          <w:rFonts w:ascii="Times New Roman" w:hAnsi="Times New Roman"/>
          <w:sz w:val="24"/>
          <w:szCs w:val="24"/>
        </w:rPr>
        <w:t>ακόμη και</w:t>
      </w:r>
      <w:r w:rsidRPr="00EB545E">
        <w:rPr>
          <w:rFonts w:ascii="Times New Roman" w:hAnsi="Times New Roman"/>
          <w:sz w:val="24"/>
          <w:szCs w:val="24"/>
        </w:rPr>
        <w:t xml:space="preserve"> με τον </w:t>
      </w:r>
      <w:r w:rsidR="004F0A67" w:rsidRPr="00EB545E">
        <w:rPr>
          <w:rFonts w:ascii="Times New Roman" w:hAnsi="Times New Roman"/>
          <w:sz w:val="24"/>
          <w:szCs w:val="24"/>
        </w:rPr>
        <w:t>γενικό τ</w:t>
      </w:r>
      <w:r w:rsidRPr="00EB545E">
        <w:rPr>
          <w:rFonts w:ascii="Times New Roman" w:hAnsi="Times New Roman"/>
          <w:sz w:val="24"/>
          <w:szCs w:val="24"/>
        </w:rPr>
        <w:t xml:space="preserve">ρόπο υπολογισμού </w:t>
      </w:r>
      <w:r w:rsidR="002A10FC" w:rsidRPr="00EB545E">
        <w:rPr>
          <w:rFonts w:ascii="Times New Roman" w:hAnsi="Times New Roman"/>
          <w:sz w:val="24"/>
          <w:szCs w:val="24"/>
        </w:rPr>
        <w:t>των στατιστικών στοιχείων</w:t>
      </w:r>
      <w:r w:rsidR="00FA1358" w:rsidRPr="00EB545E">
        <w:rPr>
          <w:rFonts w:ascii="Times New Roman" w:hAnsi="Times New Roman"/>
          <w:sz w:val="24"/>
          <w:szCs w:val="24"/>
        </w:rPr>
        <w:t xml:space="preserve"> </w:t>
      </w:r>
      <w:r w:rsidRPr="00EB545E">
        <w:rPr>
          <w:rFonts w:ascii="Times New Roman" w:hAnsi="Times New Roman"/>
          <w:sz w:val="24"/>
          <w:szCs w:val="24"/>
        </w:rPr>
        <w:t>για την υλική στέρηση</w:t>
      </w:r>
      <w:r w:rsidR="007A48B9">
        <w:rPr>
          <w:rFonts w:ascii="Times New Roman" w:hAnsi="Times New Roman"/>
          <w:sz w:val="24"/>
          <w:szCs w:val="24"/>
        </w:rPr>
        <w:t>,</w:t>
      </w:r>
      <w:r w:rsidRPr="00EB545E">
        <w:rPr>
          <w:rFonts w:ascii="Times New Roman" w:hAnsi="Times New Roman"/>
          <w:sz w:val="24"/>
          <w:szCs w:val="24"/>
        </w:rPr>
        <w:t xml:space="preserve"> </w:t>
      </w:r>
      <w:r w:rsidR="002A10FC" w:rsidRPr="00EB545E">
        <w:rPr>
          <w:rFonts w:ascii="Times New Roman" w:hAnsi="Times New Roman"/>
          <w:sz w:val="24"/>
          <w:szCs w:val="24"/>
        </w:rPr>
        <w:t>αποδεικνύεται</w:t>
      </w:r>
      <w:r w:rsidR="00EF5918" w:rsidRPr="00EB545E">
        <w:rPr>
          <w:rFonts w:ascii="Times New Roman" w:hAnsi="Times New Roman"/>
          <w:sz w:val="24"/>
          <w:szCs w:val="24"/>
        </w:rPr>
        <w:t xml:space="preserve"> ότι ένα σημαντικά μεγάλο τμήμα του πληθυσμού με </w:t>
      </w:r>
      <w:r w:rsidR="00D55DE0" w:rsidRPr="00EB545E">
        <w:rPr>
          <w:rFonts w:ascii="Times New Roman" w:hAnsi="Times New Roman"/>
          <w:sz w:val="24"/>
          <w:szCs w:val="24"/>
        </w:rPr>
        <w:t>αναπηρία</w:t>
      </w:r>
      <w:r w:rsidR="00EF5918" w:rsidRPr="00EB545E">
        <w:rPr>
          <w:rFonts w:ascii="Times New Roman" w:hAnsi="Times New Roman"/>
          <w:sz w:val="24"/>
          <w:szCs w:val="24"/>
        </w:rPr>
        <w:t xml:space="preserve"> δεν απολαμβάνει ένα </w:t>
      </w:r>
      <w:r w:rsidR="00D55DE0" w:rsidRPr="00EB545E">
        <w:rPr>
          <w:rFonts w:ascii="Times New Roman" w:hAnsi="Times New Roman"/>
          <w:sz w:val="24"/>
          <w:szCs w:val="24"/>
        </w:rPr>
        <w:t xml:space="preserve">στοιχειωδώς </w:t>
      </w:r>
      <w:r w:rsidR="00EF5918" w:rsidRPr="00EB545E">
        <w:rPr>
          <w:rFonts w:ascii="Times New Roman" w:hAnsi="Times New Roman"/>
          <w:sz w:val="24"/>
          <w:szCs w:val="24"/>
        </w:rPr>
        <w:t xml:space="preserve">ανεκτό επίπεδο διαβίωσης. </w:t>
      </w:r>
      <w:r w:rsidR="00D55DE0" w:rsidRPr="00EB545E">
        <w:rPr>
          <w:rFonts w:ascii="Times New Roman" w:hAnsi="Times New Roman"/>
          <w:sz w:val="24"/>
          <w:szCs w:val="24"/>
        </w:rPr>
        <w:t>Σ</w:t>
      </w:r>
      <w:r w:rsidR="00EF5918" w:rsidRPr="00EB545E">
        <w:rPr>
          <w:rFonts w:ascii="Times New Roman" w:hAnsi="Times New Roman"/>
          <w:sz w:val="24"/>
          <w:szCs w:val="24"/>
        </w:rPr>
        <w:t>χεδόν οι 4 στους 10 πολίτες με σοβαρή αναπηρία μεταξύ 16 και 64 ετών β</w:t>
      </w:r>
      <w:r w:rsidR="006C0F6B" w:rsidRPr="00EB545E">
        <w:rPr>
          <w:rFonts w:ascii="Times New Roman" w:hAnsi="Times New Roman"/>
          <w:sz w:val="24"/>
          <w:szCs w:val="24"/>
        </w:rPr>
        <w:t>ιώνουν σοβαρές υλικές στερήσεις.</w:t>
      </w:r>
    </w:p>
    <w:p w:rsidR="00894221" w:rsidRPr="00EB545E" w:rsidRDefault="00894221" w:rsidP="00D65DAC">
      <w:pPr>
        <w:rPr>
          <w:rFonts w:ascii="Times New Roman" w:hAnsi="Times New Roman"/>
          <w:sz w:val="24"/>
          <w:szCs w:val="24"/>
        </w:rPr>
      </w:pPr>
    </w:p>
    <w:p w:rsidR="00894221" w:rsidRPr="00EB545E" w:rsidRDefault="005548C7" w:rsidP="00D65DAC">
      <w:pPr>
        <w:rPr>
          <w:rFonts w:ascii="Times New Roman" w:hAnsi="Times New Roman"/>
          <w:sz w:val="24"/>
          <w:szCs w:val="24"/>
        </w:rPr>
      </w:pPr>
      <w:r w:rsidRPr="0034600F">
        <w:rPr>
          <w:rFonts w:ascii="Times New Roman" w:hAnsi="Times New Roman"/>
          <w:noProof/>
          <w:sz w:val="24"/>
          <w:szCs w:val="24"/>
          <w:lang w:eastAsia="el-GR"/>
        </w:rPr>
        <w:drawing>
          <wp:inline distT="0" distB="0" distL="0" distR="0">
            <wp:extent cx="5311140" cy="2992120"/>
            <wp:effectExtent l="0" t="0" r="3810" b="17780"/>
            <wp:docPr id="4" name="Γράφημα 10" descr="Τίτλος: γράφημα"/>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3423C" w:rsidRPr="00EB545E" w:rsidRDefault="0093423C" w:rsidP="00D65DAC">
      <w:pPr>
        <w:rPr>
          <w:rFonts w:ascii="Times New Roman" w:hAnsi="Times New Roman"/>
          <w:sz w:val="24"/>
          <w:szCs w:val="24"/>
        </w:rPr>
      </w:pPr>
    </w:p>
    <w:p w:rsidR="0093423C" w:rsidRPr="00EB545E" w:rsidRDefault="0093423C" w:rsidP="00902B2D">
      <w:pPr>
        <w:jc w:val="both"/>
        <w:rPr>
          <w:rFonts w:ascii="Times New Roman" w:hAnsi="Times New Roman"/>
          <w:sz w:val="24"/>
          <w:szCs w:val="24"/>
        </w:rPr>
      </w:pPr>
      <w:r w:rsidRPr="00EB545E">
        <w:rPr>
          <w:rFonts w:ascii="Times New Roman" w:hAnsi="Times New Roman"/>
          <w:sz w:val="24"/>
          <w:szCs w:val="24"/>
        </w:rPr>
        <w:t xml:space="preserve">Η ανάλυση του δείκτη «χαμηλής έντασης εργασία» στον πληθυσμό των ατόμων με αναπηρία καθιστά εμφανές ότι </w:t>
      </w:r>
      <w:r w:rsidR="00372AF2" w:rsidRPr="00EB545E">
        <w:rPr>
          <w:rFonts w:ascii="Times New Roman" w:hAnsi="Times New Roman"/>
          <w:sz w:val="24"/>
          <w:szCs w:val="24"/>
        </w:rPr>
        <w:t>η εργασία</w:t>
      </w:r>
      <w:r w:rsidRPr="00EB545E">
        <w:rPr>
          <w:rFonts w:ascii="Times New Roman" w:hAnsi="Times New Roman"/>
          <w:sz w:val="24"/>
          <w:szCs w:val="24"/>
        </w:rPr>
        <w:t xml:space="preserve"> αποτελεί το κατεξοχήν πεδίο ύπαρξης εμποδίων και αναπαραγωγής διακρίσεων εις βάρος του πληθυσμού των ατόμων με αναπηρία και των οικογενειών τους. </w:t>
      </w:r>
    </w:p>
    <w:p w:rsidR="0093423C" w:rsidRPr="00EB545E" w:rsidRDefault="0093423C" w:rsidP="00902B2D">
      <w:pPr>
        <w:jc w:val="both"/>
        <w:rPr>
          <w:rFonts w:ascii="Times New Roman" w:hAnsi="Times New Roman"/>
          <w:b/>
          <w:sz w:val="24"/>
          <w:szCs w:val="24"/>
        </w:rPr>
      </w:pPr>
      <w:r w:rsidRPr="00EB545E">
        <w:rPr>
          <w:rFonts w:ascii="Times New Roman" w:hAnsi="Times New Roman"/>
          <w:b/>
          <w:sz w:val="24"/>
          <w:szCs w:val="24"/>
        </w:rPr>
        <w:t xml:space="preserve">Ειδικότερα, το 42,8% του πληθυσμού με βαριά αναπηρία </w:t>
      </w:r>
      <w:r w:rsidR="0040694E" w:rsidRPr="00EB545E">
        <w:rPr>
          <w:rFonts w:ascii="Times New Roman" w:hAnsi="Times New Roman"/>
          <w:b/>
          <w:sz w:val="24"/>
          <w:szCs w:val="24"/>
        </w:rPr>
        <w:t xml:space="preserve">διαβιεί </w:t>
      </w:r>
      <w:r w:rsidRPr="00EB545E">
        <w:rPr>
          <w:rFonts w:ascii="Times New Roman" w:hAnsi="Times New Roman"/>
          <w:b/>
          <w:sz w:val="24"/>
          <w:szCs w:val="24"/>
        </w:rPr>
        <w:t xml:space="preserve">σε νοικοκυριά με εργασία χαμηλής έντασης, έναντι του 17,1% των ατόμων </w:t>
      </w:r>
      <w:r w:rsidR="001C3275" w:rsidRPr="00EB545E">
        <w:rPr>
          <w:rFonts w:ascii="Times New Roman" w:hAnsi="Times New Roman"/>
          <w:b/>
          <w:sz w:val="24"/>
          <w:szCs w:val="24"/>
        </w:rPr>
        <w:t>χωρίς αναπηρία.</w:t>
      </w:r>
    </w:p>
    <w:p w:rsidR="0093423C" w:rsidRPr="00EB545E" w:rsidRDefault="0093423C" w:rsidP="0093423C">
      <w:pPr>
        <w:rPr>
          <w:rFonts w:ascii="Times New Roman" w:hAnsi="Times New Roman"/>
          <w:sz w:val="24"/>
          <w:szCs w:val="24"/>
        </w:rPr>
      </w:pPr>
    </w:p>
    <w:p w:rsidR="0093423C" w:rsidRPr="00EB545E" w:rsidRDefault="005548C7" w:rsidP="0093423C">
      <w:pPr>
        <w:rPr>
          <w:rFonts w:ascii="Times New Roman" w:hAnsi="Times New Roman"/>
          <w:sz w:val="24"/>
          <w:szCs w:val="24"/>
        </w:rPr>
      </w:pPr>
      <w:r w:rsidRPr="0034600F">
        <w:rPr>
          <w:rFonts w:ascii="Times New Roman" w:hAnsi="Times New Roman"/>
          <w:noProof/>
          <w:sz w:val="24"/>
          <w:szCs w:val="24"/>
          <w:lang w:eastAsia="el-GR"/>
        </w:rPr>
        <w:drawing>
          <wp:inline distT="0" distB="0" distL="0" distR="0">
            <wp:extent cx="5139055" cy="2436495"/>
            <wp:effectExtent l="0" t="0" r="4445" b="1905"/>
            <wp:docPr id="5" name="Γράφημα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C3275" w:rsidRPr="00EB545E" w:rsidRDefault="001C3275" w:rsidP="001E09E5">
      <w:pPr>
        <w:jc w:val="both"/>
        <w:rPr>
          <w:rFonts w:ascii="Times New Roman" w:hAnsi="Times New Roman"/>
          <w:sz w:val="24"/>
          <w:szCs w:val="24"/>
        </w:rPr>
      </w:pPr>
    </w:p>
    <w:p w:rsidR="0093423C" w:rsidRPr="00EB545E" w:rsidRDefault="0093423C" w:rsidP="001E09E5">
      <w:pPr>
        <w:jc w:val="both"/>
        <w:rPr>
          <w:rFonts w:ascii="Times New Roman" w:hAnsi="Times New Roman"/>
          <w:sz w:val="24"/>
          <w:szCs w:val="24"/>
        </w:rPr>
      </w:pPr>
      <w:r w:rsidRPr="00EB545E">
        <w:rPr>
          <w:rFonts w:ascii="Times New Roman" w:hAnsi="Times New Roman"/>
          <w:sz w:val="24"/>
          <w:szCs w:val="24"/>
        </w:rPr>
        <w:t xml:space="preserve">Ο δείκτης, λαμβάνοντας υπόψη την απασχόληση του συνόλου των μελών του νοικοκυριού </w:t>
      </w:r>
      <w:r w:rsidR="00E70FC2" w:rsidRPr="00EB545E">
        <w:rPr>
          <w:rFonts w:ascii="Times New Roman" w:hAnsi="Times New Roman"/>
          <w:sz w:val="24"/>
          <w:szCs w:val="24"/>
        </w:rPr>
        <w:t>αποτυπώνει</w:t>
      </w:r>
      <w:r w:rsidRPr="00EB545E">
        <w:rPr>
          <w:rFonts w:ascii="Times New Roman" w:hAnsi="Times New Roman"/>
          <w:sz w:val="24"/>
          <w:szCs w:val="24"/>
        </w:rPr>
        <w:t xml:space="preserve"> τα χαμηλά ποσοστά συμμετοχής στην εργασία όχι μόνο των ατόμων με αναπηρία, αλλά και άλλων μελών </w:t>
      </w:r>
      <w:r w:rsidR="00AE5043" w:rsidRPr="00EB545E">
        <w:rPr>
          <w:rFonts w:ascii="Times New Roman" w:hAnsi="Times New Roman"/>
          <w:sz w:val="24"/>
          <w:szCs w:val="24"/>
        </w:rPr>
        <w:t>των νοικοκυριών τους,</w:t>
      </w:r>
      <w:r w:rsidRPr="00EB545E">
        <w:rPr>
          <w:rFonts w:ascii="Times New Roman" w:hAnsi="Times New Roman"/>
          <w:sz w:val="24"/>
          <w:szCs w:val="24"/>
        </w:rPr>
        <w:t xml:space="preserve"> που </w:t>
      </w:r>
      <w:r w:rsidR="001E09E5" w:rsidRPr="00EB545E">
        <w:rPr>
          <w:rFonts w:ascii="Times New Roman" w:hAnsi="Times New Roman"/>
          <w:sz w:val="24"/>
          <w:szCs w:val="24"/>
        </w:rPr>
        <w:t xml:space="preserve">συνήθως </w:t>
      </w:r>
      <w:r w:rsidRPr="00EB545E">
        <w:rPr>
          <w:rFonts w:ascii="Times New Roman" w:hAnsi="Times New Roman"/>
          <w:sz w:val="24"/>
          <w:szCs w:val="24"/>
        </w:rPr>
        <w:t xml:space="preserve"> έχουν ρόλο φροντιστών -δεδομένης της </w:t>
      </w:r>
      <w:r w:rsidR="00AE5043" w:rsidRPr="00EB545E">
        <w:rPr>
          <w:rFonts w:ascii="Times New Roman" w:hAnsi="Times New Roman"/>
          <w:sz w:val="24"/>
          <w:szCs w:val="24"/>
        </w:rPr>
        <w:t>μη θεσμοθέτησης του Προσωπικού Βοηθού σε συνδυασμό με την ελλειμματική παροχή</w:t>
      </w:r>
      <w:r w:rsidRPr="00EB545E">
        <w:rPr>
          <w:rFonts w:ascii="Times New Roman" w:hAnsi="Times New Roman"/>
          <w:sz w:val="24"/>
          <w:szCs w:val="24"/>
        </w:rPr>
        <w:t xml:space="preserve"> υπηρεσιών φροντίδας. </w:t>
      </w:r>
    </w:p>
    <w:p w:rsidR="000515C2" w:rsidRPr="00EB545E" w:rsidRDefault="00AE5043" w:rsidP="00BF4347">
      <w:pPr>
        <w:jc w:val="both"/>
        <w:rPr>
          <w:rFonts w:ascii="Times New Roman" w:hAnsi="Times New Roman"/>
          <w:sz w:val="24"/>
          <w:szCs w:val="24"/>
        </w:rPr>
      </w:pPr>
      <w:r w:rsidRPr="00EB545E">
        <w:rPr>
          <w:rFonts w:ascii="Times New Roman" w:hAnsi="Times New Roman"/>
          <w:sz w:val="24"/>
          <w:szCs w:val="24"/>
        </w:rPr>
        <w:t xml:space="preserve">Η περιορισμένη πρόσβαση στον κόσμο της </w:t>
      </w:r>
      <w:r w:rsidR="0093423C" w:rsidRPr="00EB545E">
        <w:rPr>
          <w:rFonts w:ascii="Times New Roman" w:hAnsi="Times New Roman"/>
          <w:sz w:val="24"/>
          <w:szCs w:val="24"/>
        </w:rPr>
        <w:t>εργασία</w:t>
      </w:r>
      <w:r w:rsidRPr="00EB545E">
        <w:rPr>
          <w:rFonts w:ascii="Times New Roman" w:hAnsi="Times New Roman"/>
          <w:sz w:val="24"/>
          <w:szCs w:val="24"/>
        </w:rPr>
        <w:t>ς</w:t>
      </w:r>
      <w:r w:rsidR="0093423C" w:rsidRPr="00EB545E">
        <w:rPr>
          <w:rFonts w:ascii="Times New Roman" w:hAnsi="Times New Roman"/>
          <w:sz w:val="24"/>
          <w:szCs w:val="24"/>
        </w:rPr>
        <w:t xml:space="preserve"> των ατόμων με αναπηρία και των ο</w:t>
      </w:r>
      <w:r w:rsidRPr="00EB545E">
        <w:rPr>
          <w:rFonts w:ascii="Times New Roman" w:hAnsi="Times New Roman"/>
          <w:sz w:val="24"/>
          <w:szCs w:val="24"/>
        </w:rPr>
        <w:t>ικογενειών τους, στο βαθμό που</w:t>
      </w:r>
      <w:r w:rsidR="00BF4347" w:rsidRPr="00EB545E">
        <w:rPr>
          <w:rFonts w:ascii="Times New Roman" w:hAnsi="Times New Roman"/>
          <w:sz w:val="24"/>
          <w:szCs w:val="24"/>
        </w:rPr>
        <w:t xml:space="preserve"> είναι σε θέση να εργαστούν, αφενός </w:t>
      </w:r>
      <w:r w:rsidR="0093423C" w:rsidRPr="00EB545E">
        <w:rPr>
          <w:rFonts w:ascii="Times New Roman" w:hAnsi="Times New Roman"/>
          <w:sz w:val="24"/>
          <w:szCs w:val="24"/>
        </w:rPr>
        <w:t>συνδέεται με την εισοδηματική φτώχεια</w:t>
      </w:r>
      <w:r w:rsidR="00BF4347" w:rsidRPr="00EB545E">
        <w:rPr>
          <w:rFonts w:ascii="Times New Roman" w:hAnsi="Times New Roman"/>
          <w:sz w:val="24"/>
          <w:szCs w:val="24"/>
        </w:rPr>
        <w:t xml:space="preserve">, αφετέρου </w:t>
      </w:r>
      <w:r w:rsidR="0093423C" w:rsidRPr="00EB545E">
        <w:rPr>
          <w:rFonts w:ascii="Times New Roman" w:hAnsi="Times New Roman"/>
          <w:sz w:val="24"/>
          <w:szCs w:val="24"/>
        </w:rPr>
        <w:t>αποτελεί βασική αιτία κοινωνικού αποκλεισμού, καθώς η εργασιακή ένταξη αποτελεί κλειδί και για την κοινωνική</w:t>
      </w:r>
      <w:r w:rsidR="006015B1" w:rsidRPr="00EB545E">
        <w:rPr>
          <w:rFonts w:ascii="Times New Roman" w:hAnsi="Times New Roman"/>
          <w:sz w:val="24"/>
          <w:szCs w:val="24"/>
        </w:rPr>
        <w:t xml:space="preserve"> τους</w:t>
      </w:r>
      <w:r w:rsidR="0093423C" w:rsidRPr="00EB545E">
        <w:rPr>
          <w:rFonts w:ascii="Times New Roman" w:hAnsi="Times New Roman"/>
          <w:sz w:val="24"/>
          <w:szCs w:val="24"/>
        </w:rPr>
        <w:t xml:space="preserve"> ένταξη</w:t>
      </w:r>
      <w:r w:rsidR="006015B1" w:rsidRPr="00EB545E">
        <w:rPr>
          <w:rFonts w:ascii="Times New Roman" w:hAnsi="Times New Roman"/>
          <w:sz w:val="24"/>
          <w:szCs w:val="24"/>
        </w:rPr>
        <w:t>.</w:t>
      </w:r>
      <w:r w:rsidR="0093423C" w:rsidRPr="00EB545E">
        <w:rPr>
          <w:rFonts w:ascii="Times New Roman" w:hAnsi="Times New Roman"/>
          <w:sz w:val="24"/>
          <w:szCs w:val="24"/>
        </w:rPr>
        <w:t xml:space="preserve"> </w:t>
      </w:r>
    </w:p>
    <w:p w:rsidR="007A48B9" w:rsidRDefault="00224205" w:rsidP="00DA06A1">
      <w:pPr>
        <w:jc w:val="both"/>
        <w:rPr>
          <w:rFonts w:ascii="Times New Roman" w:hAnsi="Times New Roman"/>
          <w:i/>
          <w:sz w:val="24"/>
          <w:szCs w:val="24"/>
        </w:rPr>
      </w:pPr>
      <w:r w:rsidRPr="00EB545E">
        <w:rPr>
          <w:rFonts w:ascii="Times New Roman" w:hAnsi="Times New Roman"/>
          <w:i/>
          <w:sz w:val="24"/>
          <w:szCs w:val="24"/>
        </w:rPr>
        <w:t xml:space="preserve">Συμπερασματικά, </w:t>
      </w:r>
      <w:r w:rsidR="00EB545E" w:rsidRPr="007A48B9">
        <w:rPr>
          <w:rFonts w:ascii="Times New Roman" w:hAnsi="Times New Roman"/>
          <w:b/>
          <w:i/>
          <w:sz w:val="24"/>
          <w:szCs w:val="24"/>
          <w:u w:val="single"/>
        </w:rPr>
        <w:t>για την αντιμετώπιση της φτώχειας</w:t>
      </w:r>
      <w:r w:rsidR="00EB545E">
        <w:rPr>
          <w:rFonts w:ascii="Times New Roman" w:hAnsi="Times New Roman"/>
          <w:i/>
          <w:sz w:val="24"/>
          <w:szCs w:val="24"/>
        </w:rPr>
        <w:t xml:space="preserve"> των ατόμων με αναπηρία και των οικογενειών τους </w:t>
      </w:r>
      <w:r w:rsidR="00EB545E" w:rsidRPr="007A48B9">
        <w:rPr>
          <w:rFonts w:ascii="Times New Roman" w:hAnsi="Times New Roman"/>
          <w:b/>
          <w:i/>
          <w:sz w:val="24"/>
          <w:szCs w:val="24"/>
        </w:rPr>
        <w:t>απαιτείται</w:t>
      </w:r>
      <w:r w:rsidRPr="007A48B9">
        <w:rPr>
          <w:rFonts w:ascii="Times New Roman" w:hAnsi="Times New Roman"/>
          <w:b/>
          <w:i/>
          <w:sz w:val="24"/>
          <w:szCs w:val="24"/>
        </w:rPr>
        <w:t xml:space="preserve"> ένα συνολι</w:t>
      </w:r>
      <w:r w:rsidR="00EB545E" w:rsidRPr="007A48B9">
        <w:rPr>
          <w:rFonts w:ascii="Times New Roman" w:hAnsi="Times New Roman"/>
          <w:b/>
          <w:i/>
          <w:sz w:val="24"/>
          <w:szCs w:val="24"/>
        </w:rPr>
        <w:t xml:space="preserve">κό πρόγραμμα δημόσιων πολιτικών, </w:t>
      </w:r>
      <w:r w:rsidRPr="007A48B9">
        <w:rPr>
          <w:rFonts w:ascii="Times New Roman" w:hAnsi="Times New Roman"/>
          <w:b/>
          <w:i/>
          <w:sz w:val="24"/>
          <w:szCs w:val="24"/>
        </w:rPr>
        <w:t>που θα περιλαμβάνει πρόσθετα μέτρα είτε άμεσης είτε έμμεσης οικονομικής ενίσχυσης, μέσω ευνοϊκών εισοδηματικών, ασφαλιστικών και φορολογικών ρυθμίσεων</w:t>
      </w:r>
      <w:r w:rsidRPr="00EB545E">
        <w:rPr>
          <w:rFonts w:ascii="Times New Roman" w:hAnsi="Times New Roman"/>
          <w:i/>
          <w:sz w:val="24"/>
          <w:szCs w:val="24"/>
        </w:rPr>
        <w:t xml:space="preserve">. </w:t>
      </w:r>
    </w:p>
    <w:p w:rsidR="007A48B9" w:rsidRDefault="007A48B9" w:rsidP="00DA06A1">
      <w:pPr>
        <w:jc w:val="both"/>
        <w:rPr>
          <w:rFonts w:ascii="Times New Roman" w:hAnsi="Times New Roman"/>
          <w:i/>
          <w:sz w:val="24"/>
          <w:szCs w:val="24"/>
        </w:rPr>
      </w:pPr>
      <w:r>
        <w:rPr>
          <w:rFonts w:ascii="Times New Roman" w:hAnsi="Times New Roman"/>
          <w:i/>
          <w:sz w:val="24"/>
          <w:szCs w:val="24"/>
        </w:rPr>
        <w:t>Επιπρόσθετα,</w:t>
      </w:r>
      <w:r w:rsidR="00C13CA3">
        <w:rPr>
          <w:rFonts w:ascii="Times New Roman" w:hAnsi="Times New Roman"/>
          <w:i/>
          <w:sz w:val="24"/>
          <w:szCs w:val="24"/>
        </w:rPr>
        <w:t xml:space="preserve"> </w:t>
      </w:r>
      <w:r w:rsidR="00C13CA3" w:rsidRPr="007A48B9">
        <w:rPr>
          <w:rFonts w:ascii="Times New Roman" w:hAnsi="Times New Roman"/>
          <w:b/>
          <w:i/>
          <w:sz w:val="24"/>
          <w:szCs w:val="24"/>
        </w:rPr>
        <w:t xml:space="preserve">απαιτείται </w:t>
      </w:r>
      <w:r w:rsidR="00EB545E" w:rsidRPr="007A48B9">
        <w:rPr>
          <w:rFonts w:ascii="Times New Roman" w:hAnsi="Times New Roman"/>
          <w:b/>
          <w:i/>
          <w:sz w:val="24"/>
          <w:szCs w:val="24"/>
        </w:rPr>
        <w:t xml:space="preserve">μια </w:t>
      </w:r>
      <w:r w:rsidR="00224205" w:rsidRPr="007A48B9">
        <w:rPr>
          <w:rFonts w:ascii="Times New Roman" w:hAnsi="Times New Roman"/>
          <w:b/>
          <w:i/>
          <w:sz w:val="24"/>
          <w:szCs w:val="24"/>
        </w:rPr>
        <w:t>ολοκληρωμένη εθνική στρατηγική για την εργασιακή ένταξη των ατόμων με αναπηρία και των οικογενειών τους, ως μέτρο ενίσχυσης του εισοδήματος και ως πολιτική</w:t>
      </w:r>
      <w:r w:rsidR="00EB545E" w:rsidRPr="007A48B9">
        <w:rPr>
          <w:rFonts w:ascii="Times New Roman" w:hAnsi="Times New Roman"/>
          <w:b/>
          <w:i/>
          <w:sz w:val="24"/>
          <w:szCs w:val="24"/>
        </w:rPr>
        <w:t xml:space="preserve"> κοινωνικής ένταξης</w:t>
      </w:r>
      <w:r w:rsidR="00EB545E">
        <w:rPr>
          <w:rFonts w:ascii="Times New Roman" w:hAnsi="Times New Roman"/>
          <w:i/>
          <w:sz w:val="24"/>
          <w:szCs w:val="24"/>
        </w:rPr>
        <w:t xml:space="preserve">. </w:t>
      </w:r>
    </w:p>
    <w:p w:rsidR="0093423C" w:rsidRDefault="00EB545E" w:rsidP="00DA06A1">
      <w:pPr>
        <w:jc w:val="both"/>
        <w:rPr>
          <w:rFonts w:ascii="Times New Roman" w:hAnsi="Times New Roman"/>
          <w:i/>
          <w:sz w:val="24"/>
          <w:szCs w:val="24"/>
        </w:rPr>
      </w:pPr>
      <w:r>
        <w:rPr>
          <w:rFonts w:ascii="Times New Roman" w:hAnsi="Times New Roman"/>
          <w:i/>
          <w:sz w:val="24"/>
          <w:szCs w:val="24"/>
        </w:rPr>
        <w:t xml:space="preserve">Ωστόσο, </w:t>
      </w:r>
      <w:r w:rsidRPr="007A48B9">
        <w:rPr>
          <w:rFonts w:ascii="Times New Roman" w:hAnsi="Times New Roman"/>
          <w:b/>
          <w:i/>
          <w:sz w:val="24"/>
          <w:szCs w:val="24"/>
          <w:u w:val="single"/>
        </w:rPr>
        <w:t>το ζήτημα του κοινωνικού αποκλεισμού</w:t>
      </w:r>
      <w:r>
        <w:rPr>
          <w:rFonts w:ascii="Times New Roman" w:hAnsi="Times New Roman"/>
          <w:i/>
          <w:sz w:val="24"/>
          <w:szCs w:val="24"/>
        </w:rPr>
        <w:t xml:space="preserve"> </w:t>
      </w:r>
      <w:r w:rsidRPr="007A48B9">
        <w:rPr>
          <w:rFonts w:ascii="Times New Roman" w:hAnsi="Times New Roman"/>
          <w:b/>
          <w:i/>
          <w:sz w:val="24"/>
          <w:szCs w:val="24"/>
        </w:rPr>
        <w:t xml:space="preserve">απαιτεί την ενσωμάτωση </w:t>
      </w:r>
      <w:r w:rsidR="00224205" w:rsidRPr="007A48B9">
        <w:rPr>
          <w:rFonts w:ascii="Times New Roman" w:hAnsi="Times New Roman"/>
          <w:b/>
          <w:i/>
          <w:sz w:val="24"/>
          <w:szCs w:val="24"/>
        </w:rPr>
        <w:t xml:space="preserve">-όπως </w:t>
      </w:r>
      <w:r w:rsidRPr="007A48B9">
        <w:rPr>
          <w:rFonts w:ascii="Times New Roman" w:hAnsi="Times New Roman"/>
          <w:b/>
          <w:i/>
          <w:sz w:val="24"/>
          <w:szCs w:val="24"/>
        </w:rPr>
        <w:t xml:space="preserve">άλλωστε </w:t>
      </w:r>
      <w:r w:rsidR="00224205" w:rsidRPr="007A48B9">
        <w:rPr>
          <w:rFonts w:ascii="Times New Roman" w:hAnsi="Times New Roman"/>
          <w:b/>
          <w:i/>
          <w:sz w:val="24"/>
          <w:szCs w:val="24"/>
        </w:rPr>
        <w:t xml:space="preserve">ορίζεται στη Διεθνή Σύμβαση για τα Δικαιώματα των Ατόμων με Αναπηρία και ειδικότερα στην Ελλάδα στο νόμο 4488/2017- </w:t>
      </w:r>
      <w:r w:rsidRPr="007A48B9">
        <w:rPr>
          <w:rFonts w:ascii="Times New Roman" w:hAnsi="Times New Roman"/>
          <w:b/>
          <w:i/>
          <w:sz w:val="24"/>
          <w:szCs w:val="24"/>
        </w:rPr>
        <w:t xml:space="preserve">της </w:t>
      </w:r>
      <w:r w:rsidR="00224205" w:rsidRPr="007A48B9">
        <w:rPr>
          <w:rFonts w:ascii="Times New Roman" w:hAnsi="Times New Roman"/>
          <w:b/>
          <w:i/>
          <w:sz w:val="24"/>
          <w:szCs w:val="24"/>
        </w:rPr>
        <w:t>διάσταση</w:t>
      </w:r>
      <w:r w:rsidRPr="007A48B9">
        <w:rPr>
          <w:rFonts w:ascii="Times New Roman" w:hAnsi="Times New Roman"/>
          <w:b/>
          <w:i/>
          <w:sz w:val="24"/>
          <w:szCs w:val="24"/>
        </w:rPr>
        <w:t>ς</w:t>
      </w:r>
      <w:r w:rsidR="00224205" w:rsidRPr="007A48B9">
        <w:rPr>
          <w:rFonts w:ascii="Times New Roman" w:hAnsi="Times New Roman"/>
          <w:b/>
          <w:i/>
          <w:sz w:val="24"/>
          <w:szCs w:val="24"/>
        </w:rPr>
        <w:t xml:space="preserve"> της αναπηρίας σε όλες τις δημόσιες πολιτικές</w:t>
      </w:r>
      <w:r w:rsidR="00C13CA3" w:rsidRPr="007A48B9">
        <w:rPr>
          <w:rFonts w:ascii="Times New Roman" w:hAnsi="Times New Roman"/>
          <w:b/>
          <w:i/>
          <w:sz w:val="24"/>
          <w:szCs w:val="24"/>
        </w:rPr>
        <w:t>,</w:t>
      </w:r>
      <w:r w:rsidR="00224205" w:rsidRPr="007A48B9">
        <w:rPr>
          <w:rFonts w:ascii="Times New Roman" w:hAnsi="Times New Roman"/>
          <w:b/>
          <w:i/>
          <w:sz w:val="24"/>
          <w:szCs w:val="24"/>
        </w:rPr>
        <w:t xml:space="preserve"> δράσεις, μέτρα και προγράμματα, ώστε να καταστεί εφικτή η ισότιμη συμμετοχή </w:t>
      </w:r>
      <w:r w:rsidRPr="007A48B9">
        <w:rPr>
          <w:rFonts w:ascii="Times New Roman" w:hAnsi="Times New Roman"/>
          <w:b/>
          <w:i/>
          <w:sz w:val="24"/>
          <w:szCs w:val="24"/>
        </w:rPr>
        <w:t xml:space="preserve">των ατόμων με αναπηρία </w:t>
      </w:r>
      <w:r w:rsidR="00224205" w:rsidRPr="007A48B9">
        <w:rPr>
          <w:rFonts w:ascii="Times New Roman" w:hAnsi="Times New Roman"/>
          <w:b/>
          <w:i/>
          <w:sz w:val="24"/>
          <w:szCs w:val="24"/>
        </w:rPr>
        <w:t>στα δημόσια αγαθά και στις υπηρεσίες</w:t>
      </w:r>
      <w:r w:rsidR="00C13CA3" w:rsidRPr="007A48B9">
        <w:rPr>
          <w:rFonts w:ascii="Times New Roman" w:hAnsi="Times New Roman"/>
          <w:b/>
          <w:i/>
          <w:sz w:val="24"/>
          <w:szCs w:val="24"/>
        </w:rPr>
        <w:t>,</w:t>
      </w:r>
      <w:r w:rsidR="00224205" w:rsidRPr="007A48B9">
        <w:rPr>
          <w:rFonts w:ascii="Times New Roman" w:hAnsi="Times New Roman"/>
          <w:b/>
          <w:i/>
          <w:sz w:val="24"/>
          <w:szCs w:val="24"/>
        </w:rPr>
        <w:t xml:space="preserve"> και</w:t>
      </w:r>
      <w:r w:rsidRPr="007A48B9">
        <w:rPr>
          <w:rFonts w:ascii="Times New Roman" w:hAnsi="Times New Roman"/>
          <w:b/>
          <w:i/>
          <w:sz w:val="24"/>
          <w:szCs w:val="24"/>
        </w:rPr>
        <w:t xml:space="preserve"> συνακόλουθα</w:t>
      </w:r>
      <w:r w:rsidR="00224205" w:rsidRPr="007A48B9">
        <w:rPr>
          <w:rFonts w:ascii="Times New Roman" w:hAnsi="Times New Roman"/>
          <w:b/>
          <w:i/>
          <w:sz w:val="24"/>
          <w:szCs w:val="24"/>
        </w:rPr>
        <w:t xml:space="preserve"> η ανεμπόδιστη άσκηση των δικαιωμάτων των ατόμων με αναπηρία</w:t>
      </w:r>
      <w:r w:rsidR="00224205" w:rsidRPr="00EB545E">
        <w:rPr>
          <w:rFonts w:ascii="Times New Roman" w:hAnsi="Times New Roman"/>
          <w:i/>
          <w:sz w:val="24"/>
          <w:szCs w:val="24"/>
        </w:rPr>
        <w:t xml:space="preserve">.  </w:t>
      </w:r>
    </w:p>
    <w:sectPr w:rsidR="0093423C" w:rsidSect="00A604D5">
      <w:footerReference w:type="default" r:id="rId12"/>
      <w:pgSz w:w="11906" w:h="16838"/>
      <w:pgMar w:top="1440" w:right="1800" w:bottom="1440"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4ECE" w:rsidRDefault="000F4ECE" w:rsidP="00D65DAC">
      <w:pPr>
        <w:spacing w:after="0" w:line="240" w:lineRule="auto"/>
      </w:pPr>
      <w:r>
        <w:separator/>
      </w:r>
    </w:p>
  </w:endnote>
  <w:endnote w:type="continuationSeparator" w:id="0">
    <w:p w:rsidR="000F4ECE" w:rsidRDefault="000F4ECE" w:rsidP="00D65D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731" w:rsidRDefault="00976731">
    <w:pPr>
      <w:pStyle w:val="a8"/>
      <w:jc w:val="right"/>
    </w:pPr>
    <w:r>
      <w:fldChar w:fldCharType="begin"/>
    </w:r>
    <w:r>
      <w:instrText>PAGE   \* MERGEFORMAT</w:instrText>
    </w:r>
    <w:r>
      <w:fldChar w:fldCharType="separate"/>
    </w:r>
    <w:r w:rsidR="005548C7">
      <w:rPr>
        <w:noProof/>
      </w:rPr>
      <w:t>1</w:t>
    </w:r>
    <w:r>
      <w:fldChar w:fldCharType="end"/>
    </w:r>
  </w:p>
  <w:p w:rsidR="00976731" w:rsidRDefault="0097673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4ECE" w:rsidRDefault="000F4ECE" w:rsidP="00D65DAC">
      <w:pPr>
        <w:spacing w:after="0" w:line="240" w:lineRule="auto"/>
      </w:pPr>
      <w:r>
        <w:separator/>
      </w:r>
    </w:p>
  </w:footnote>
  <w:footnote w:type="continuationSeparator" w:id="0">
    <w:p w:rsidR="000F4ECE" w:rsidRDefault="000F4ECE" w:rsidP="00D65DAC">
      <w:pPr>
        <w:spacing w:after="0" w:line="240" w:lineRule="auto"/>
      </w:pPr>
      <w:r>
        <w:continuationSeparator/>
      </w:r>
    </w:p>
  </w:footnote>
  <w:footnote w:id="1">
    <w:p w:rsidR="00D65DAC" w:rsidRDefault="00D65DAC" w:rsidP="00D65DAC">
      <w:pPr>
        <w:pStyle w:val="a4"/>
        <w:jc w:val="both"/>
      </w:pPr>
      <w:r>
        <w:rPr>
          <w:rStyle w:val="a5"/>
        </w:rPr>
        <w:footnoteRef/>
      </w:r>
      <w:r>
        <w:t xml:space="preserve"> </w:t>
      </w:r>
      <w:r w:rsidRPr="00E6119F">
        <w:t>Το κατώφλι της φτώχειας ορίζεται σήμερα στα 4.500 ευρώ ανά άτομο ενώ για παράδειγμα το 2008 ήταν στα 6.480 ευρώ.</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A414D"/>
    <w:multiLevelType w:val="hybridMultilevel"/>
    <w:tmpl w:val="B422FAE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A423CCF"/>
    <w:multiLevelType w:val="hybridMultilevel"/>
    <w:tmpl w:val="16087034"/>
    <w:lvl w:ilvl="0" w:tplc="C2C0CF3E">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38336D2"/>
    <w:multiLevelType w:val="hybridMultilevel"/>
    <w:tmpl w:val="C1CC421E"/>
    <w:lvl w:ilvl="0" w:tplc="FE00E95E">
      <w:start w:val="1"/>
      <w:numFmt w:val="bullet"/>
      <w:lvlText w:val=""/>
      <w:lvlJc w:val="left"/>
      <w:pPr>
        <w:tabs>
          <w:tab w:val="num" w:pos="720"/>
        </w:tabs>
        <w:ind w:left="720" w:hanging="360"/>
      </w:pPr>
      <w:rPr>
        <w:rFonts w:ascii="Wingdings" w:hAnsi="Wingdings" w:hint="default"/>
      </w:rPr>
    </w:lvl>
    <w:lvl w:ilvl="1" w:tplc="48B82A74" w:tentative="1">
      <w:start w:val="1"/>
      <w:numFmt w:val="bullet"/>
      <w:lvlText w:val=""/>
      <w:lvlJc w:val="left"/>
      <w:pPr>
        <w:tabs>
          <w:tab w:val="num" w:pos="1440"/>
        </w:tabs>
        <w:ind w:left="1440" w:hanging="360"/>
      </w:pPr>
      <w:rPr>
        <w:rFonts w:ascii="Wingdings" w:hAnsi="Wingdings" w:hint="default"/>
      </w:rPr>
    </w:lvl>
    <w:lvl w:ilvl="2" w:tplc="2CC83A74" w:tentative="1">
      <w:start w:val="1"/>
      <w:numFmt w:val="bullet"/>
      <w:lvlText w:val=""/>
      <w:lvlJc w:val="left"/>
      <w:pPr>
        <w:tabs>
          <w:tab w:val="num" w:pos="2160"/>
        </w:tabs>
        <w:ind w:left="2160" w:hanging="360"/>
      </w:pPr>
      <w:rPr>
        <w:rFonts w:ascii="Wingdings" w:hAnsi="Wingdings" w:hint="default"/>
      </w:rPr>
    </w:lvl>
    <w:lvl w:ilvl="3" w:tplc="BCFA3F40" w:tentative="1">
      <w:start w:val="1"/>
      <w:numFmt w:val="bullet"/>
      <w:lvlText w:val=""/>
      <w:lvlJc w:val="left"/>
      <w:pPr>
        <w:tabs>
          <w:tab w:val="num" w:pos="2880"/>
        </w:tabs>
        <w:ind w:left="2880" w:hanging="360"/>
      </w:pPr>
      <w:rPr>
        <w:rFonts w:ascii="Wingdings" w:hAnsi="Wingdings" w:hint="default"/>
      </w:rPr>
    </w:lvl>
    <w:lvl w:ilvl="4" w:tplc="FAAE90C0" w:tentative="1">
      <w:start w:val="1"/>
      <w:numFmt w:val="bullet"/>
      <w:lvlText w:val=""/>
      <w:lvlJc w:val="left"/>
      <w:pPr>
        <w:tabs>
          <w:tab w:val="num" w:pos="3600"/>
        </w:tabs>
        <w:ind w:left="3600" w:hanging="360"/>
      </w:pPr>
      <w:rPr>
        <w:rFonts w:ascii="Wingdings" w:hAnsi="Wingdings" w:hint="default"/>
      </w:rPr>
    </w:lvl>
    <w:lvl w:ilvl="5" w:tplc="BD1EDCD8" w:tentative="1">
      <w:start w:val="1"/>
      <w:numFmt w:val="bullet"/>
      <w:lvlText w:val=""/>
      <w:lvlJc w:val="left"/>
      <w:pPr>
        <w:tabs>
          <w:tab w:val="num" w:pos="4320"/>
        </w:tabs>
        <w:ind w:left="4320" w:hanging="360"/>
      </w:pPr>
      <w:rPr>
        <w:rFonts w:ascii="Wingdings" w:hAnsi="Wingdings" w:hint="default"/>
      </w:rPr>
    </w:lvl>
    <w:lvl w:ilvl="6" w:tplc="F5E28F16" w:tentative="1">
      <w:start w:val="1"/>
      <w:numFmt w:val="bullet"/>
      <w:lvlText w:val=""/>
      <w:lvlJc w:val="left"/>
      <w:pPr>
        <w:tabs>
          <w:tab w:val="num" w:pos="5040"/>
        </w:tabs>
        <w:ind w:left="5040" w:hanging="360"/>
      </w:pPr>
      <w:rPr>
        <w:rFonts w:ascii="Wingdings" w:hAnsi="Wingdings" w:hint="default"/>
      </w:rPr>
    </w:lvl>
    <w:lvl w:ilvl="7" w:tplc="DAC8D966" w:tentative="1">
      <w:start w:val="1"/>
      <w:numFmt w:val="bullet"/>
      <w:lvlText w:val=""/>
      <w:lvlJc w:val="left"/>
      <w:pPr>
        <w:tabs>
          <w:tab w:val="num" w:pos="5760"/>
        </w:tabs>
        <w:ind w:left="5760" w:hanging="360"/>
      </w:pPr>
      <w:rPr>
        <w:rFonts w:ascii="Wingdings" w:hAnsi="Wingdings" w:hint="default"/>
      </w:rPr>
    </w:lvl>
    <w:lvl w:ilvl="8" w:tplc="BB4010B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394ECE"/>
    <w:multiLevelType w:val="hybridMultilevel"/>
    <w:tmpl w:val="F73A22D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30526D08"/>
    <w:multiLevelType w:val="hybridMultilevel"/>
    <w:tmpl w:val="42AE6B5E"/>
    <w:lvl w:ilvl="0" w:tplc="63B8DFBE">
      <w:start w:val="1"/>
      <w:numFmt w:val="bullet"/>
      <w:lvlText w:val=""/>
      <w:lvlJc w:val="left"/>
      <w:pPr>
        <w:tabs>
          <w:tab w:val="num" w:pos="720"/>
        </w:tabs>
        <w:ind w:left="720" w:hanging="360"/>
      </w:pPr>
      <w:rPr>
        <w:rFonts w:ascii="Wingdings" w:hAnsi="Wingdings" w:hint="default"/>
      </w:rPr>
    </w:lvl>
    <w:lvl w:ilvl="1" w:tplc="143226BC" w:tentative="1">
      <w:start w:val="1"/>
      <w:numFmt w:val="bullet"/>
      <w:lvlText w:val=""/>
      <w:lvlJc w:val="left"/>
      <w:pPr>
        <w:tabs>
          <w:tab w:val="num" w:pos="1440"/>
        </w:tabs>
        <w:ind w:left="1440" w:hanging="360"/>
      </w:pPr>
      <w:rPr>
        <w:rFonts w:ascii="Wingdings" w:hAnsi="Wingdings" w:hint="default"/>
      </w:rPr>
    </w:lvl>
    <w:lvl w:ilvl="2" w:tplc="6BC49F0C" w:tentative="1">
      <w:start w:val="1"/>
      <w:numFmt w:val="bullet"/>
      <w:lvlText w:val=""/>
      <w:lvlJc w:val="left"/>
      <w:pPr>
        <w:tabs>
          <w:tab w:val="num" w:pos="2160"/>
        </w:tabs>
        <w:ind w:left="2160" w:hanging="360"/>
      </w:pPr>
      <w:rPr>
        <w:rFonts w:ascii="Wingdings" w:hAnsi="Wingdings" w:hint="default"/>
      </w:rPr>
    </w:lvl>
    <w:lvl w:ilvl="3" w:tplc="0D6AEA72" w:tentative="1">
      <w:start w:val="1"/>
      <w:numFmt w:val="bullet"/>
      <w:lvlText w:val=""/>
      <w:lvlJc w:val="left"/>
      <w:pPr>
        <w:tabs>
          <w:tab w:val="num" w:pos="2880"/>
        </w:tabs>
        <w:ind w:left="2880" w:hanging="360"/>
      </w:pPr>
      <w:rPr>
        <w:rFonts w:ascii="Wingdings" w:hAnsi="Wingdings" w:hint="default"/>
      </w:rPr>
    </w:lvl>
    <w:lvl w:ilvl="4" w:tplc="C186B968" w:tentative="1">
      <w:start w:val="1"/>
      <w:numFmt w:val="bullet"/>
      <w:lvlText w:val=""/>
      <w:lvlJc w:val="left"/>
      <w:pPr>
        <w:tabs>
          <w:tab w:val="num" w:pos="3600"/>
        </w:tabs>
        <w:ind w:left="3600" w:hanging="360"/>
      </w:pPr>
      <w:rPr>
        <w:rFonts w:ascii="Wingdings" w:hAnsi="Wingdings" w:hint="default"/>
      </w:rPr>
    </w:lvl>
    <w:lvl w:ilvl="5" w:tplc="5518FE04" w:tentative="1">
      <w:start w:val="1"/>
      <w:numFmt w:val="bullet"/>
      <w:lvlText w:val=""/>
      <w:lvlJc w:val="left"/>
      <w:pPr>
        <w:tabs>
          <w:tab w:val="num" w:pos="4320"/>
        </w:tabs>
        <w:ind w:left="4320" w:hanging="360"/>
      </w:pPr>
      <w:rPr>
        <w:rFonts w:ascii="Wingdings" w:hAnsi="Wingdings" w:hint="default"/>
      </w:rPr>
    </w:lvl>
    <w:lvl w:ilvl="6" w:tplc="86BA0356" w:tentative="1">
      <w:start w:val="1"/>
      <w:numFmt w:val="bullet"/>
      <w:lvlText w:val=""/>
      <w:lvlJc w:val="left"/>
      <w:pPr>
        <w:tabs>
          <w:tab w:val="num" w:pos="5040"/>
        </w:tabs>
        <w:ind w:left="5040" w:hanging="360"/>
      </w:pPr>
      <w:rPr>
        <w:rFonts w:ascii="Wingdings" w:hAnsi="Wingdings" w:hint="default"/>
      </w:rPr>
    </w:lvl>
    <w:lvl w:ilvl="7" w:tplc="46663866" w:tentative="1">
      <w:start w:val="1"/>
      <w:numFmt w:val="bullet"/>
      <w:lvlText w:val=""/>
      <w:lvlJc w:val="left"/>
      <w:pPr>
        <w:tabs>
          <w:tab w:val="num" w:pos="5760"/>
        </w:tabs>
        <w:ind w:left="5760" w:hanging="360"/>
      </w:pPr>
      <w:rPr>
        <w:rFonts w:ascii="Wingdings" w:hAnsi="Wingdings" w:hint="default"/>
      </w:rPr>
    </w:lvl>
    <w:lvl w:ilvl="8" w:tplc="2882646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6B72514"/>
    <w:multiLevelType w:val="hybridMultilevel"/>
    <w:tmpl w:val="70C6D6B0"/>
    <w:lvl w:ilvl="0" w:tplc="04080001">
      <w:start w:val="1"/>
      <w:numFmt w:val="bullet"/>
      <w:lvlText w:val=""/>
      <w:lvlJc w:val="left"/>
      <w:pPr>
        <w:ind w:left="862" w:hanging="360"/>
      </w:pPr>
      <w:rPr>
        <w:rFonts w:ascii="Symbol" w:hAnsi="Symbol" w:hint="default"/>
      </w:rPr>
    </w:lvl>
    <w:lvl w:ilvl="1" w:tplc="04080003" w:tentative="1">
      <w:start w:val="1"/>
      <w:numFmt w:val="bullet"/>
      <w:lvlText w:val="o"/>
      <w:lvlJc w:val="left"/>
      <w:pPr>
        <w:ind w:left="1582" w:hanging="360"/>
      </w:pPr>
      <w:rPr>
        <w:rFonts w:ascii="Courier New" w:hAnsi="Courier New" w:cs="Courier New" w:hint="default"/>
      </w:rPr>
    </w:lvl>
    <w:lvl w:ilvl="2" w:tplc="04080005" w:tentative="1">
      <w:start w:val="1"/>
      <w:numFmt w:val="bullet"/>
      <w:lvlText w:val=""/>
      <w:lvlJc w:val="left"/>
      <w:pPr>
        <w:ind w:left="2302" w:hanging="360"/>
      </w:pPr>
      <w:rPr>
        <w:rFonts w:ascii="Wingdings" w:hAnsi="Wingdings" w:hint="default"/>
      </w:rPr>
    </w:lvl>
    <w:lvl w:ilvl="3" w:tplc="04080001" w:tentative="1">
      <w:start w:val="1"/>
      <w:numFmt w:val="bullet"/>
      <w:lvlText w:val=""/>
      <w:lvlJc w:val="left"/>
      <w:pPr>
        <w:ind w:left="3022" w:hanging="360"/>
      </w:pPr>
      <w:rPr>
        <w:rFonts w:ascii="Symbol" w:hAnsi="Symbol" w:hint="default"/>
      </w:rPr>
    </w:lvl>
    <w:lvl w:ilvl="4" w:tplc="04080003" w:tentative="1">
      <w:start w:val="1"/>
      <w:numFmt w:val="bullet"/>
      <w:lvlText w:val="o"/>
      <w:lvlJc w:val="left"/>
      <w:pPr>
        <w:ind w:left="3742" w:hanging="360"/>
      </w:pPr>
      <w:rPr>
        <w:rFonts w:ascii="Courier New" w:hAnsi="Courier New" w:cs="Courier New" w:hint="default"/>
      </w:rPr>
    </w:lvl>
    <w:lvl w:ilvl="5" w:tplc="04080005" w:tentative="1">
      <w:start w:val="1"/>
      <w:numFmt w:val="bullet"/>
      <w:lvlText w:val=""/>
      <w:lvlJc w:val="left"/>
      <w:pPr>
        <w:ind w:left="4462" w:hanging="360"/>
      </w:pPr>
      <w:rPr>
        <w:rFonts w:ascii="Wingdings" w:hAnsi="Wingdings" w:hint="default"/>
      </w:rPr>
    </w:lvl>
    <w:lvl w:ilvl="6" w:tplc="04080001" w:tentative="1">
      <w:start w:val="1"/>
      <w:numFmt w:val="bullet"/>
      <w:lvlText w:val=""/>
      <w:lvlJc w:val="left"/>
      <w:pPr>
        <w:ind w:left="5182" w:hanging="360"/>
      </w:pPr>
      <w:rPr>
        <w:rFonts w:ascii="Symbol" w:hAnsi="Symbol" w:hint="default"/>
      </w:rPr>
    </w:lvl>
    <w:lvl w:ilvl="7" w:tplc="04080003" w:tentative="1">
      <w:start w:val="1"/>
      <w:numFmt w:val="bullet"/>
      <w:lvlText w:val="o"/>
      <w:lvlJc w:val="left"/>
      <w:pPr>
        <w:ind w:left="5902" w:hanging="360"/>
      </w:pPr>
      <w:rPr>
        <w:rFonts w:ascii="Courier New" w:hAnsi="Courier New" w:cs="Courier New" w:hint="default"/>
      </w:rPr>
    </w:lvl>
    <w:lvl w:ilvl="8" w:tplc="04080005" w:tentative="1">
      <w:start w:val="1"/>
      <w:numFmt w:val="bullet"/>
      <w:lvlText w:val=""/>
      <w:lvlJc w:val="left"/>
      <w:pPr>
        <w:ind w:left="6622" w:hanging="360"/>
      </w:pPr>
      <w:rPr>
        <w:rFonts w:ascii="Wingdings" w:hAnsi="Wingdings" w:hint="default"/>
      </w:rPr>
    </w:lvl>
  </w:abstractNum>
  <w:abstractNum w:abstractNumId="6" w15:restartNumberingAfterBreak="0">
    <w:nsid w:val="7ADF0993"/>
    <w:multiLevelType w:val="hybridMultilevel"/>
    <w:tmpl w:val="D6449E2E"/>
    <w:lvl w:ilvl="0" w:tplc="CD20EA9C">
      <w:start w:val="1"/>
      <w:numFmt w:val="bullet"/>
      <w:lvlText w:val=""/>
      <w:lvlJc w:val="left"/>
      <w:pPr>
        <w:tabs>
          <w:tab w:val="num" w:pos="720"/>
        </w:tabs>
        <w:ind w:left="720" w:hanging="360"/>
      </w:pPr>
      <w:rPr>
        <w:rFonts w:ascii="Wingdings" w:hAnsi="Wingdings" w:hint="default"/>
      </w:rPr>
    </w:lvl>
    <w:lvl w:ilvl="1" w:tplc="EB223FAE" w:tentative="1">
      <w:start w:val="1"/>
      <w:numFmt w:val="bullet"/>
      <w:lvlText w:val=""/>
      <w:lvlJc w:val="left"/>
      <w:pPr>
        <w:tabs>
          <w:tab w:val="num" w:pos="1440"/>
        </w:tabs>
        <w:ind w:left="1440" w:hanging="360"/>
      </w:pPr>
      <w:rPr>
        <w:rFonts w:ascii="Wingdings" w:hAnsi="Wingdings" w:hint="default"/>
      </w:rPr>
    </w:lvl>
    <w:lvl w:ilvl="2" w:tplc="831415C8" w:tentative="1">
      <w:start w:val="1"/>
      <w:numFmt w:val="bullet"/>
      <w:lvlText w:val=""/>
      <w:lvlJc w:val="left"/>
      <w:pPr>
        <w:tabs>
          <w:tab w:val="num" w:pos="2160"/>
        </w:tabs>
        <w:ind w:left="2160" w:hanging="360"/>
      </w:pPr>
      <w:rPr>
        <w:rFonts w:ascii="Wingdings" w:hAnsi="Wingdings" w:hint="default"/>
      </w:rPr>
    </w:lvl>
    <w:lvl w:ilvl="3" w:tplc="E7544022" w:tentative="1">
      <w:start w:val="1"/>
      <w:numFmt w:val="bullet"/>
      <w:lvlText w:val=""/>
      <w:lvlJc w:val="left"/>
      <w:pPr>
        <w:tabs>
          <w:tab w:val="num" w:pos="2880"/>
        </w:tabs>
        <w:ind w:left="2880" w:hanging="360"/>
      </w:pPr>
      <w:rPr>
        <w:rFonts w:ascii="Wingdings" w:hAnsi="Wingdings" w:hint="default"/>
      </w:rPr>
    </w:lvl>
    <w:lvl w:ilvl="4" w:tplc="EB94175C" w:tentative="1">
      <w:start w:val="1"/>
      <w:numFmt w:val="bullet"/>
      <w:lvlText w:val=""/>
      <w:lvlJc w:val="left"/>
      <w:pPr>
        <w:tabs>
          <w:tab w:val="num" w:pos="3600"/>
        </w:tabs>
        <w:ind w:left="3600" w:hanging="360"/>
      </w:pPr>
      <w:rPr>
        <w:rFonts w:ascii="Wingdings" w:hAnsi="Wingdings" w:hint="default"/>
      </w:rPr>
    </w:lvl>
    <w:lvl w:ilvl="5" w:tplc="753841B0" w:tentative="1">
      <w:start w:val="1"/>
      <w:numFmt w:val="bullet"/>
      <w:lvlText w:val=""/>
      <w:lvlJc w:val="left"/>
      <w:pPr>
        <w:tabs>
          <w:tab w:val="num" w:pos="4320"/>
        </w:tabs>
        <w:ind w:left="4320" w:hanging="360"/>
      </w:pPr>
      <w:rPr>
        <w:rFonts w:ascii="Wingdings" w:hAnsi="Wingdings" w:hint="default"/>
      </w:rPr>
    </w:lvl>
    <w:lvl w:ilvl="6" w:tplc="81CA8FA8" w:tentative="1">
      <w:start w:val="1"/>
      <w:numFmt w:val="bullet"/>
      <w:lvlText w:val=""/>
      <w:lvlJc w:val="left"/>
      <w:pPr>
        <w:tabs>
          <w:tab w:val="num" w:pos="5040"/>
        </w:tabs>
        <w:ind w:left="5040" w:hanging="360"/>
      </w:pPr>
      <w:rPr>
        <w:rFonts w:ascii="Wingdings" w:hAnsi="Wingdings" w:hint="default"/>
      </w:rPr>
    </w:lvl>
    <w:lvl w:ilvl="7" w:tplc="A9AA6B88" w:tentative="1">
      <w:start w:val="1"/>
      <w:numFmt w:val="bullet"/>
      <w:lvlText w:val=""/>
      <w:lvlJc w:val="left"/>
      <w:pPr>
        <w:tabs>
          <w:tab w:val="num" w:pos="5760"/>
        </w:tabs>
        <w:ind w:left="5760" w:hanging="360"/>
      </w:pPr>
      <w:rPr>
        <w:rFonts w:ascii="Wingdings" w:hAnsi="Wingdings" w:hint="default"/>
      </w:rPr>
    </w:lvl>
    <w:lvl w:ilvl="8" w:tplc="B5807C3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B79314B"/>
    <w:multiLevelType w:val="hybridMultilevel"/>
    <w:tmpl w:val="8A3CB226"/>
    <w:lvl w:ilvl="0" w:tplc="E4BC9BCC">
      <w:start w:val="1"/>
      <w:numFmt w:val="bullet"/>
      <w:lvlText w:val=""/>
      <w:lvlJc w:val="left"/>
      <w:pPr>
        <w:tabs>
          <w:tab w:val="num" w:pos="720"/>
        </w:tabs>
        <w:ind w:left="720" w:hanging="360"/>
      </w:pPr>
      <w:rPr>
        <w:rFonts w:ascii="Wingdings" w:hAnsi="Wingdings" w:hint="default"/>
      </w:rPr>
    </w:lvl>
    <w:lvl w:ilvl="1" w:tplc="90603AFC" w:tentative="1">
      <w:start w:val="1"/>
      <w:numFmt w:val="bullet"/>
      <w:lvlText w:val=""/>
      <w:lvlJc w:val="left"/>
      <w:pPr>
        <w:tabs>
          <w:tab w:val="num" w:pos="1440"/>
        </w:tabs>
        <w:ind w:left="1440" w:hanging="360"/>
      </w:pPr>
      <w:rPr>
        <w:rFonts w:ascii="Wingdings" w:hAnsi="Wingdings" w:hint="default"/>
      </w:rPr>
    </w:lvl>
    <w:lvl w:ilvl="2" w:tplc="232CCCDE" w:tentative="1">
      <w:start w:val="1"/>
      <w:numFmt w:val="bullet"/>
      <w:lvlText w:val=""/>
      <w:lvlJc w:val="left"/>
      <w:pPr>
        <w:tabs>
          <w:tab w:val="num" w:pos="2160"/>
        </w:tabs>
        <w:ind w:left="2160" w:hanging="360"/>
      </w:pPr>
      <w:rPr>
        <w:rFonts w:ascii="Wingdings" w:hAnsi="Wingdings" w:hint="default"/>
      </w:rPr>
    </w:lvl>
    <w:lvl w:ilvl="3" w:tplc="1F02EA78" w:tentative="1">
      <w:start w:val="1"/>
      <w:numFmt w:val="bullet"/>
      <w:lvlText w:val=""/>
      <w:lvlJc w:val="left"/>
      <w:pPr>
        <w:tabs>
          <w:tab w:val="num" w:pos="2880"/>
        </w:tabs>
        <w:ind w:left="2880" w:hanging="360"/>
      </w:pPr>
      <w:rPr>
        <w:rFonts w:ascii="Wingdings" w:hAnsi="Wingdings" w:hint="default"/>
      </w:rPr>
    </w:lvl>
    <w:lvl w:ilvl="4" w:tplc="9014BE40" w:tentative="1">
      <w:start w:val="1"/>
      <w:numFmt w:val="bullet"/>
      <w:lvlText w:val=""/>
      <w:lvlJc w:val="left"/>
      <w:pPr>
        <w:tabs>
          <w:tab w:val="num" w:pos="3600"/>
        </w:tabs>
        <w:ind w:left="3600" w:hanging="360"/>
      </w:pPr>
      <w:rPr>
        <w:rFonts w:ascii="Wingdings" w:hAnsi="Wingdings" w:hint="default"/>
      </w:rPr>
    </w:lvl>
    <w:lvl w:ilvl="5" w:tplc="54EAEFA6" w:tentative="1">
      <w:start w:val="1"/>
      <w:numFmt w:val="bullet"/>
      <w:lvlText w:val=""/>
      <w:lvlJc w:val="left"/>
      <w:pPr>
        <w:tabs>
          <w:tab w:val="num" w:pos="4320"/>
        </w:tabs>
        <w:ind w:left="4320" w:hanging="360"/>
      </w:pPr>
      <w:rPr>
        <w:rFonts w:ascii="Wingdings" w:hAnsi="Wingdings" w:hint="default"/>
      </w:rPr>
    </w:lvl>
    <w:lvl w:ilvl="6" w:tplc="4A086E3A" w:tentative="1">
      <w:start w:val="1"/>
      <w:numFmt w:val="bullet"/>
      <w:lvlText w:val=""/>
      <w:lvlJc w:val="left"/>
      <w:pPr>
        <w:tabs>
          <w:tab w:val="num" w:pos="5040"/>
        </w:tabs>
        <w:ind w:left="5040" w:hanging="360"/>
      </w:pPr>
      <w:rPr>
        <w:rFonts w:ascii="Wingdings" w:hAnsi="Wingdings" w:hint="default"/>
      </w:rPr>
    </w:lvl>
    <w:lvl w:ilvl="7" w:tplc="1D50D98C" w:tentative="1">
      <w:start w:val="1"/>
      <w:numFmt w:val="bullet"/>
      <w:lvlText w:val=""/>
      <w:lvlJc w:val="left"/>
      <w:pPr>
        <w:tabs>
          <w:tab w:val="num" w:pos="5760"/>
        </w:tabs>
        <w:ind w:left="5760" w:hanging="360"/>
      </w:pPr>
      <w:rPr>
        <w:rFonts w:ascii="Wingdings" w:hAnsi="Wingdings" w:hint="default"/>
      </w:rPr>
    </w:lvl>
    <w:lvl w:ilvl="8" w:tplc="5E961BB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C0B73CB"/>
    <w:multiLevelType w:val="hybridMultilevel"/>
    <w:tmpl w:val="281E8DE4"/>
    <w:lvl w:ilvl="0" w:tplc="04080001">
      <w:start w:val="1"/>
      <w:numFmt w:val="bullet"/>
      <w:lvlText w:val=""/>
      <w:lvlJc w:val="left"/>
      <w:pPr>
        <w:ind w:left="360" w:hanging="360"/>
      </w:pPr>
      <w:rPr>
        <w:rFonts w:ascii="Symbol" w:hAnsi="Symbol" w:hint="default"/>
      </w:rPr>
    </w:lvl>
    <w:lvl w:ilvl="1" w:tplc="ECB69B0E" w:tentative="1">
      <w:start w:val="1"/>
      <w:numFmt w:val="bullet"/>
      <w:lvlText w:val="o"/>
      <w:lvlJc w:val="left"/>
      <w:pPr>
        <w:ind w:left="1080" w:hanging="360"/>
      </w:pPr>
      <w:rPr>
        <w:rFonts w:ascii="Courier New" w:hAnsi="Courier New" w:cs="Courier New" w:hint="default"/>
      </w:rPr>
    </w:lvl>
    <w:lvl w:ilvl="2" w:tplc="E1E002FA" w:tentative="1">
      <w:start w:val="1"/>
      <w:numFmt w:val="bullet"/>
      <w:lvlText w:val=""/>
      <w:lvlJc w:val="left"/>
      <w:pPr>
        <w:ind w:left="1800" w:hanging="360"/>
      </w:pPr>
      <w:rPr>
        <w:rFonts w:ascii="Wingdings" w:hAnsi="Wingdings" w:hint="default"/>
      </w:rPr>
    </w:lvl>
    <w:lvl w:ilvl="3" w:tplc="9FFAA0EC" w:tentative="1">
      <w:start w:val="1"/>
      <w:numFmt w:val="bullet"/>
      <w:lvlText w:val=""/>
      <w:lvlJc w:val="left"/>
      <w:pPr>
        <w:ind w:left="2520" w:hanging="360"/>
      </w:pPr>
      <w:rPr>
        <w:rFonts w:ascii="Symbol" w:hAnsi="Symbol" w:hint="default"/>
      </w:rPr>
    </w:lvl>
    <w:lvl w:ilvl="4" w:tplc="05ACF3DE" w:tentative="1">
      <w:start w:val="1"/>
      <w:numFmt w:val="bullet"/>
      <w:lvlText w:val="o"/>
      <w:lvlJc w:val="left"/>
      <w:pPr>
        <w:ind w:left="3240" w:hanging="360"/>
      </w:pPr>
      <w:rPr>
        <w:rFonts w:ascii="Courier New" w:hAnsi="Courier New" w:cs="Courier New" w:hint="default"/>
      </w:rPr>
    </w:lvl>
    <w:lvl w:ilvl="5" w:tplc="144627D0" w:tentative="1">
      <w:start w:val="1"/>
      <w:numFmt w:val="bullet"/>
      <w:lvlText w:val=""/>
      <w:lvlJc w:val="left"/>
      <w:pPr>
        <w:ind w:left="3960" w:hanging="360"/>
      </w:pPr>
      <w:rPr>
        <w:rFonts w:ascii="Wingdings" w:hAnsi="Wingdings" w:hint="default"/>
      </w:rPr>
    </w:lvl>
    <w:lvl w:ilvl="6" w:tplc="CA4A017E" w:tentative="1">
      <w:start w:val="1"/>
      <w:numFmt w:val="bullet"/>
      <w:lvlText w:val=""/>
      <w:lvlJc w:val="left"/>
      <w:pPr>
        <w:ind w:left="4680" w:hanging="360"/>
      </w:pPr>
      <w:rPr>
        <w:rFonts w:ascii="Symbol" w:hAnsi="Symbol" w:hint="default"/>
      </w:rPr>
    </w:lvl>
    <w:lvl w:ilvl="7" w:tplc="8692235C" w:tentative="1">
      <w:start w:val="1"/>
      <w:numFmt w:val="bullet"/>
      <w:lvlText w:val="o"/>
      <w:lvlJc w:val="left"/>
      <w:pPr>
        <w:ind w:left="5400" w:hanging="360"/>
      </w:pPr>
      <w:rPr>
        <w:rFonts w:ascii="Courier New" w:hAnsi="Courier New" w:cs="Courier New" w:hint="default"/>
      </w:rPr>
    </w:lvl>
    <w:lvl w:ilvl="8" w:tplc="02640EC2" w:tentative="1">
      <w:start w:val="1"/>
      <w:numFmt w:val="bullet"/>
      <w:lvlText w:val=""/>
      <w:lvlJc w:val="left"/>
      <w:pPr>
        <w:ind w:left="6120" w:hanging="360"/>
      </w:pPr>
      <w:rPr>
        <w:rFonts w:ascii="Wingdings" w:hAnsi="Wingdings" w:hint="default"/>
      </w:rPr>
    </w:lvl>
  </w:abstractNum>
  <w:num w:numId="1">
    <w:abstractNumId w:val="7"/>
  </w:num>
  <w:num w:numId="2">
    <w:abstractNumId w:val="2"/>
  </w:num>
  <w:num w:numId="3">
    <w:abstractNumId w:val="4"/>
  </w:num>
  <w:num w:numId="4">
    <w:abstractNumId w:val="8"/>
  </w:num>
  <w:num w:numId="5">
    <w:abstractNumId w:val="1"/>
  </w:num>
  <w:num w:numId="6">
    <w:abstractNumId w:val="6"/>
  </w:num>
  <w:num w:numId="7">
    <w:abstractNumId w:val="3"/>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8DC"/>
    <w:rsid w:val="000268DC"/>
    <w:rsid w:val="00040674"/>
    <w:rsid w:val="00041548"/>
    <w:rsid w:val="00043EF8"/>
    <w:rsid w:val="000501F9"/>
    <w:rsid w:val="000515C2"/>
    <w:rsid w:val="00056BAF"/>
    <w:rsid w:val="00064AC3"/>
    <w:rsid w:val="00076305"/>
    <w:rsid w:val="000871B3"/>
    <w:rsid w:val="000A4463"/>
    <w:rsid w:val="000B16E0"/>
    <w:rsid w:val="000C6894"/>
    <w:rsid w:val="000D63D6"/>
    <w:rsid w:val="000F4ECE"/>
    <w:rsid w:val="00112981"/>
    <w:rsid w:val="001472C0"/>
    <w:rsid w:val="00152DA6"/>
    <w:rsid w:val="00163C45"/>
    <w:rsid w:val="00176275"/>
    <w:rsid w:val="00196097"/>
    <w:rsid w:val="001B4C9D"/>
    <w:rsid w:val="001C3275"/>
    <w:rsid w:val="001D2297"/>
    <w:rsid w:val="001D7693"/>
    <w:rsid w:val="001E09E5"/>
    <w:rsid w:val="001E5A77"/>
    <w:rsid w:val="001F2DCC"/>
    <w:rsid w:val="001F3162"/>
    <w:rsid w:val="00201858"/>
    <w:rsid w:val="0021609B"/>
    <w:rsid w:val="00224205"/>
    <w:rsid w:val="00240A69"/>
    <w:rsid w:val="0024315B"/>
    <w:rsid w:val="00260453"/>
    <w:rsid w:val="00283C99"/>
    <w:rsid w:val="002A10FC"/>
    <w:rsid w:val="002A4F05"/>
    <w:rsid w:val="002C72F0"/>
    <w:rsid w:val="002D1489"/>
    <w:rsid w:val="002D2CAB"/>
    <w:rsid w:val="003138D0"/>
    <w:rsid w:val="0034600F"/>
    <w:rsid w:val="00371EED"/>
    <w:rsid w:val="00372AF2"/>
    <w:rsid w:val="00373069"/>
    <w:rsid w:val="003B254E"/>
    <w:rsid w:val="003D1836"/>
    <w:rsid w:val="003D1C79"/>
    <w:rsid w:val="003E6C94"/>
    <w:rsid w:val="0040142A"/>
    <w:rsid w:val="004020FE"/>
    <w:rsid w:val="0040694E"/>
    <w:rsid w:val="00406E68"/>
    <w:rsid w:val="004072CE"/>
    <w:rsid w:val="0043490D"/>
    <w:rsid w:val="00441755"/>
    <w:rsid w:val="0046559E"/>
    <w:rsid w:val="00484A80"/>
    <w:rsid w:val="00485972"/>
    <w:rsid w:val="004C1EEC"/>
    <w:rsid w:val="004F0A67"/>
    <w:rsid w:val="004F0C75"/>
    <w:rsid w:val="0050329C"/>
    <w:rsid w:val="00516923"/>
    <w:rsid w:val="00537637"/>
    <w:rsid w:val="00541FDD"/>
    <w:rsid w:val="00552CC7"/>
    <w:rsid w:val="005548C7"/>
    <w:rsid w:val="00594939"/>
    <w:rsid w:val="005A5F4F"/>
    <w:rsid w:val="005C5F90"/>
    <w:rsid w:val="005D07C3"/>
    <w:rsid w:val="005D34B2"/>
    <w:rsid w:val="006015B1"/>
    <w:rsid w:val="006101EC"/>
    <w:rsid w:val="00634462"/>
    <w:rsid w:val="00643F37"/>
    <w:rsid w:val="0065001A"/>
    <w:rsid w:val="0066475C"/>
    <w:rsid w:val="006712B7"/>
    <w:rsid w:val="00694FD7"/>
    <w:rsid w:val="006A6706"/>
    <w:rsid w:val="006C0F6B"/>
    <w:rsid w:val="006C682B"/>
    <w:rsid w:val="006D6C86"/>
    <w:rsid w:val="00707484"/>
    <w:rsid w:val="00715417"/>
    <w:rsid w:val="0072422B"/>
    <w:rsid w:val="007322A5"/>
    <w:rsid w:val="007354F1"/>
    <w:rsid w:val="00742C61"/>
    <w:rsid w:val="00752329"/>
    <w:rsid w:val="007A48B9"/>
    <w:rsid w:val="007B18CF"/>
    <w:rsid w:val="007D2214"/>
    <w:rsid w:val="007E42BE"/>
    <w:rsid w:val="00800F5D"/>
    <w:rsid w:val="00814A02"/>
    <w:rsid w:val="00824EAB"/>
    <w:rsid w:val="008347CB"/>
    <w:rsid w:val="008365C6"/>
    <w:rsid w:val="00861846"/>
    <w:rsid w:val="00886135"/>
    <w:rsid w:val="00894221"/>
    <w:rsid w:val="00894F5C"/>
    <w:rsid w:val="008B44E8"/>
    <w:rsid w:val="008B6F37"/>
    <w:rsid w:val="008E54F5"/>
    <w:rsid w:val="008E55D6"/>
    <w:rsid w:val="008F1F43"/>
    <w:rsid w:val="008F34F3"/>
    <w:rsid w:val="00902B2D"/>
    <w:rsid w:val="009066CE"/>
    <w:rsid w:val="00933A3D"/>
    <w:rsid w:val="00933A9F"/>
    <w:rsid w:val="0093423C"/>
    <w:rsid w:val="00944C7D"/>
    <w:rsid w:val="00976731"/>
    <w:rsid w:val="0098254F"/>
    <w:rsid w:val="00996097"/>
    <w:rsid w:val="009974C4"/>
    <w:rsid w:val="009A5845"/>
    <w:rsid w:val="00A213FE"/>
    <w:rsid w:val="00A25E27"/>
    <w:rsid w:val="00A41F05"/>
    <w:rsid w:val="00A604D5"/>
    <w:rsid w:val="00A64B94"/>
    <w:rsid w:val="00A70A4A"/>
    <w:rsid w:val="00AB5F0E"/>
    <w:rsid w:val="00AB7EC7"/>
    <w:rsid w:val="00AE5043"/>
    <w:rsid w:val="00B61105"/>
    <w:rsid w:val="00B66408"/>
    <w:rsid w:val="00B72D4C"/>
    <w:rsid w:val="00B81DDF"/>
    <w:rsid w:val="00B85530"/>
    <w:rsid w:val="00BA1EFB"/>
    <w:rsid w:val="00BA22A9"/>
    <w:rsid w:val="00BA4230"/>
    <w:rsid w:val="00BD415D"/>
    <w:rsid w:val="00BE1734"/>
    <w:rsid w:val="00BF4347"/>
    <w:rsid w:val="00C06BB8"/>
    <w:rsid w:val="00C13CA3"/>
    <w:rsid w:val="00C16D59"/>
    <w:rsid w:val="00C21176"/>
    <w:rsid w:val="00C3460E"/>
    <w:rsid w:val="00C36D40"/>
    <w:rsid w:val="00C50807"/>
    <w:rsid w:val="00C72BE0"/>
    <w:rsid w:val="00C8006B"/>
    <w:rsid w:val="00C85758"/>
    <w:rsid w:val="00C86161"/>
    <w:rsid w:val="00C9144C"/>
    <w:rsid w:val="00CE5350"/>
    <w:rsid w:val="00D44B14"/>
    <w:rsid w:val="00D46814"/>
    <w:rsid w:val="00D5319C"/>
    <w:rsid w:val="00D55DE0"/>
    <w:rsid w:val="00D65DAC"/>
    <w:rsid w:val="00D8226E"/>
    <w:rsid w:val="00D90402"/>
    <w:rsid w:val="00D92A07"/>
    <w:rsid w:val="00DA06A1"/>
    <w:rsid w:val="00DA4C5D"/>
    <w:rsid w:val="00DC139B"/>
    <w:rsid w:val="00DE1DEE"/>
    <w:rsid w:val="00E07D75"/>
    <w:rsid w:val="00E108DA"/>
    <w:rsid w:val="00E32E85"/>
    <w:rsid w:val="00E6003C"/>
    <w:rsid w:val="00E65F81"/>
    <w:rsid w:val="00E70FC2"/>
    <w:rsid w:val="00E71D34"/>
    <w:rsid w:val="00E77CA1"/>
    <w:rsid w:val="00EA04C5"/>
    <w:rsid w:val="00EA6542"/>
    <w:rsid w:val="00EB545E"/>
    <w:rsid w:val="00EC5AFB"/>
    <w:rsid w:val="00EF5918"/>
    <w:rsid w:val="00F20A55"/>
    <w:rsid w:val="00F326EF"/>
    <w:rsid w:val="00F456BE"/>
    <w:rsid w:val="00F6541C"/>
    <w:rsid w:val="00F669DF"/>
    <w:rsid w:val="00F77CE0"/>
    <w:rsid w:val="00F92747"/>
    <w:rsid w:val="00FA1358"/>
    <w:rsid w:val="00FC0AF9"/>
    <w:rsid w:val="00FE17AD"/>
    <w:rsid w:val="00FF26A5"/>
    <w:rsid w:val="00FF2F9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26AE78-8393-4113-8E79-3DEFC011E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Char"/>
    <w:uiPriority w:val="34"/>
    <w:qFormat/>
    <w:rsid w:val="00F6541C"/>
    <w:pPr>
      <w:spacing w:after="0" w:line="240" w:lineRule="auto"/>
      <w:ind w:left="720"/>
      <w:contextualSpacing/>
    </w:pPr>
    <w:rPr>
      <w:rFonts w:ascii="Times New Roman" w:eastAsia="Times New Roman" w:hAnsi="Times New Roman"/>
      <w:sz w:val="24"/>
      <w:szCs w:val="24"/>
      <w:lang w:val="x-none" w:eastAsia="el-GR"/>
    </w:rPr>
  </w:style>
  <w:style w:type="character" w:customStyle="1" w:styleId="Char">
    <w:name w:val="Παράγραφος λίστας Char"/>
    <w:link w:val="a3"/>
    <w:uiPriority w:val="34"/>
    <w:rsid w:val="0043490D"/>
    <w:rPr>
      <w:rFonts w:ascii="Times New Roman" w:eastAsia="Times New Roman" w:hAnsi="Times New Roman" w:cs="Times New Roman"/>
      <w:sz w:val="24"/>
      <w:szCs w:val="24"/>
      <w:lang w:eastAsia="el-GR"/>
    </w:rPr>
  </w:style>
  <w:style w:type="paragraph" w:styleId="a4">
    <w:name w:val="footnote text"/>
    <w:basedOn w:val="a"/>
    <w:link w:val="Char0"/>
    <w:uiPriority w:val="99"/>
    <w:semiHidden/>
    <w:unhideWhenUsed/>
    <w:rsid w:val="00D65DAC"/>
    <w:pPr>
      <w:spacing w:after="0" w:line="240" w:lineRule="auto"/>
    </w:pPr>
    <w:rPr>
      <w:sz w:val="20"/>
      <w:szCs w:val="20"/>
      <w:lang w:val="x-none" w:eastAsia="el-GR"/>
    </w:rPr>
  </w:style>
  <w:style w:type="character" w:customStyle="1" w:styleId="Char0">
    <w:name w:val="Κείμενο υποσημείωσης Char"/>
    <w:link w:val="a4"/>
    <w:uiPriority w:val="99"/>
    <w:semiHidden/>
    <w:rsid w:val="00D65DAC"/>
    <w:rPr>
      <w:rFonts w:ascii="Calibri" w:eastAsia="Calibri" w:hAnsi="Calibri" w:cs="Times New Roman"/>
      <w:sz w:val="20"/>
      <w:szCs w:val="20"/>
      <w:lang w:eastAsia="el-GR"/>
    </w:rPr>
  </w:style>
  <w:style w:type="character" w:styleId="a5">
    <w:name w:val="footnote reference"/>
    <w:uiPriority w:val="99"/>
    <w:semiHidden/>
    <w:unhideWhenUsed/>
    <w:rsid w:val="00D65DAC"/>
    <w:rPr>
      <w:vertAlign w:val="superscript"/>
    </w:rPr>
  </w:style>
  <w:style w:type="paragraph" w:styleId="a6">
    <w:name w:val="caption"/>
    <w:basedOn w:val="a"/>
    <w:next w:val="a"/>
    <w:uiPriority w:val="35"/>
    <w:qFormat/>
    <w:rsid w:val="00056BAF"/>
    <w:pPr>
      <w:spacing w:after="200" w:line="276" w:lineRule="auto"/>
      <w:jc w:val="both"/>
    </w:pPr>
    <w:rPr>
      <w:rFonts w:ascii="Cambria" w:eastAsia="Times New Roman" w:hAnsi="Cambria"/>
      <w:b/>
      <w:bCs/>
      <w:color w:val="000000"/>
      <w:sz w:val="20"/>
      <w:szCs w:val="20"/>
      <w:lang w:eastAsia="el-GR"/>
    </w:rPr>
  </w:style>
  <w:style w:type="paragraph" w:styleId="a7">
    <w:name w:val="header"/>
    <w:basedOn w:val="a"/>
    <w:link w:val="Char1"/>
    <w:uiPriority w:val="99"/>
    <w:unhideWhenUsed/>
    <w:rsid w:val="00976731"/>
    <w:pPr>
      <w:tabs>
        <w:tab w:val="center" w:pos="4320"/>
        <w:tab w:val="right" w:pos="8640"/>
      </w:tabs>
      <w:spacing w:after="0" w:line="240" w:lineRule="auto"/>
    </w:pPr>
  </w:style>
  <w:style w:type="character" w:customStyle="1" w:styleId="Char1">
    <w:name w:val="Κεφαλίδα Char"/>
    <w:basedOn w:val="a0"/>
    <w:link w:val="a7"/>
    <w:uiPriority w:val="99"/>
    <w:rsid w:val="00976731"/>
  </w:style>
  <w:style w:type="paragraph" w:styleId="a8">
    <w:name w:val="footer"/>
    <w:basedOn w:val="a"/>
    <w:link w:val="Char2"/>
    <w:uiPriority w:val="99"/>
    <w:unhideWhenUsed/>
    <w:rsid w:val="00976731"/>
    <w:pPr>
      <w:tabs>
        <w:tab w:val="center" w:pos="4320"/>
        <w:tab w:val="right" w:pos="8640"/>
      </w:tabs>
      <w:spacing w:after="0" w:line="240" w:lineRule="auto"/>
    </w:pPr>
  </w:style>
  <w:style w:type="character" w:customStyle="1" w:styleId="Char2">
    <w:name w:val="Υποσέλιδο Char"/>
    <w:basedOn w:val="a0"/>
    <w:link w:val="a8"/>
    <w:uiPriority w:val="99"/>
    <w:rsid w:val="00976731"/>
  </w:style>
  <w:style w:type="paragraph" w:customStyle="1" w:styleId="CharCharChar1CharCharCharCharCharCharCharCharCharCharCharCharCharCharCharCharCharCharCharCharCharCharCharCharCharCharCharCharCharCharCharCharCharCharCharCharCharCharChar">
    <w:name w:val="Char Char Char1 Char Char Char Char Char Char Char Char Char Char Char Char Char Char Char Char Char Char Char Char Char Char Char Char Char Char Char Char Char Char Char Char Char Char Char Char Char Char Char"/>
    <w:basedOn w:val="a"/>
    <w:rsid w:val="00A41F05"/>
    <w:pPr>
      <w:spacing w:line="240" w:lineRule="exact"/>
    </w:pPr>
    <w:rPr>
      <w:rFonts w:ascii="Tahoma" w:eastAsia="Times New Roman" w:hAnsi="Tahom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2437430">
      <w:bodyDiv w:val="1"/>
      <w:marLeft w:val="0"/>
      <w:marRight w:val="0"/>
      <w:marTop w:val="0"/>
      <w:marBottom w:val="0"/>
      <w:divBdr>
        <w:top w:val="none" w:sz="0" w:space="0" w:color="auto"/>
        <w:left w:val="none" w:sz="0" w:space="0" w:color="auto"/>
        <w:bottom w:val="none" w:sz="0" w:space="0" w:color="auto"/>
        <w:right w:val="none" w:sz="0" w:space="0" w:color="auto"/>
      </w:divBdr>
      <w:divsChild>
        <w:div w:id="1763456748">
          <w:marLeft w:val="432"/>
          <w:marRight w:val="0"/>
          <w:marTop w:val="120"/>
          <w:marBottom w:val="0"/>
          <w:divBdr>
            <w:top w:val="none" w:sz="0" w:space="0" w:color="auto"/>
            <w:left w:val="none" w:sz="0" w:space="0" w:color="auto"/>
            <w:bottom w:val="none" w:sz="0" w:space="0" w:color="auto"/>
            <w:right w:val="none" w:sz="0" w:space="0" w:color="auto"/>
          </w:divBdr>
        </w:div>
        <w:div w:id="2119182847">
          <w:marLeft w:val="432"/>
          <w:marRight w:val="0"/>
          <w:marTop w:val="120"/>
          <w:marBottom w:val="0"/>
          <w:divBdr>
            <w:top w:val="none" w:sz="0" w:space="0" w:color="auto"/>
            <w:left w:val="none" w:sz="0" w:space="0" w:color="auto"/>
            <w:bottom w:val="none" w:sz="0" w:space="0" w:color="auto"/>
            <w:right w:val="none" w:sz="0" w:space="0" w:color="auto"/>
          </w:divBdr>
        </w:div>
      </w:divsChild>
    </w:div>
    <w:div w:id="454911682">
      <w:bodyDiv w:val="1"/>
      <w:marLeft w:val="0"/>
      <w:marRight w:val="0"/>
      <w:marTop w:val="0"/>
      <w:marBottom w:val="0"/>
      <w:divBdr>
        <w:top w:val="none" w:sz="0" w:space="0" w:color="auto"/>
        <w:left w:val="none" w:sz="0" w:space="0" w:color="auto"/>
        <w:bottom w:val="none" w:sz="0" w:space="0" w:color="auto"/>
        <w:right w:val="none" w:sz="0" w:space="0" w:color="auto"/>
      </w:divBdr>
      <w:divsChild>
        <w:div w:id="1258714648">
          <w:marLeft w:val="432"/>
          <w:marRight w:val="0"/>
          <w:marTop w:val="120"/>
          <w:marBottom w:val="0"/>
          <w:divBdr>
            <w:top w:val="none" w:sz="0" w:space="0" w:color="auto"/>
            <w:left w:val="none" w:sz="0" w:space="0" w:color="auto"/>
            <w:bottom w:val="none" w:sz="0" w:space="0" w:color="auto"/>
            <w:right w:val="none" w:sz="0" w:space="0" w:color="auto"/>
          </w:divBdr>
        </w:div>
      </w:divsChild>
    </w:div>
    <w:div w:id="1114252323">
      <w:bodyDiv w:val="1"/>
      <w:marLeft w:val="0"/>
      <w:marRight w:val="0"/>
      <w:marTop w:val="0"/>
      <w:marBottom w:val="0"/>
      <w:divBdr>
        <w:top w:val="none" w:sz="0" w:space="0" w:color="auto"/>
        <w:left w:val="none" w:sz="0" w:space="0" w:color="auto"/>
        <w:bottom w:val="none" w:sz="0" w:space="0" w:color="auto"/>
        <w:right w:val="none" w:sz="0" w:space="0" w:color="auto"/>
      </w:divBdr>
      <w:divsChild>
        <w:div w:id="990670410">
          <w:marLeft w:val="432"/>
          <w:marRight w:val="0"/>
          <w:marTop w:val="120"/>
          <w:marBottom w:val="0"/>
          <w:divBdr>
            <w:top w:val="none" w:sz="0" w:space="0" w:color="auto"/>
            <w:left w:val="none" w:sz="0" w:space="0" w:color="auto"/>
            <w:bottom w:val="none" w:sz="0" w:space="0" w:color="auto"/>
            <w:right w:val="none" w:sz="0" w:space="0" w:color="auto"/>
          </w:divBdr>
        </w:div>
        <w:div w:id="1090272669">
          <w:marLeft w:val="432"/>
          <w:marRight w:val="0"/>
          <w:marTop w:val="120"/>
          <w:marBottom w:val="0"/>
          <w:divBdr>
            <w:top w:val="none" w:sz="0" w:space="0" w:color="auto"/>
            <w:left w:val="none" w:sz="0" w:space="0" w:color="auto"/>
            <w:bottom w:val="none" w:sz="0" w:space="0" w:color="auto"/>
            <w:right w:val="none" w:sz="0" w:space="0" w:color="auto"/>
          </w:divBdr>
        </w:div>
      </w:divsChild>
    </w:div>
    <w:div w:id="2136488523">
      <w:bodyDiv w:val="1"/>
      <w:marLeft w:val="0"/>
      <w:marRight w:val="0"/>
      <w:marTop w:val="0"/>
      <w:marBottom w:val="0"/>
      <w:divBdr>
        <w:top w:val="none" w:sz="0" w:space="0" w:color="auto"/>
        <w:left w:val="none" w:sz="0" w:space="0" w:color="auto"/>
        <w:bottom w:val="none" w:sz="0" w:space="0" w:color="auto"/>
        <w:right w:val="none" w:sz="0" w:space="0" w:color="auto"/>
      </w:divBdr>
      <w:divsChild>
        <w:div w:id="1578594071">
          <w:marLeft w:val="432"/>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fprovi\Desktop\&#916;&#917;&#923;&#932;&#921;&#913;%20&#932;&#933;&#928;&#927;&#933;%20&#928;&#913;&#929;&#913;&#932;&#919;&#929;&#919;&#932;&#919;&#929;&#921;&#927;\poverty%20risk-&#951;&#955;&#953;&#954;&#953;&#949;&#963;.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C:\Users\dlogaras\Documents\N&#949;&#945;%20&#922;&#965;&#946;&#941;&#961;&#957;&#951;&#963;&#951;%20&#931;&#945;&#956;&#945;&#961;&#940;\&#925;&#917;&#927;%20&#917;&#931;&#928;&#913;\&#931;&#949;&#956;&#953;&#957;&#940;&#961;&#953;&#959;%20&#922;&#959;&#953;&#957;&#969;&#957;&#953;&#954;&#972;&#962;%20&#913;&#960;&#959;&#954;&#955;&#949;&#953;&#963;&#956;&#972;&#962;\&#928;&#921;&#925;&#913;&#922;&#917;&#931;%20&#916;&#917;&#923;&#932;&#921;&#927;&#933;%201.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C:\Users\dlogaras\Documents\N&#949;&#945;%20&#922;&#965;&#946;&#941;&#961;&#957;&#951;&#963;&#951;%20&#931;&#945;&#956;&#945;&#961;&#940;\&#925;&#917;&#927;%20&#917;&#931;&#928;&#913;\&#931;&#949;&#956;&#953;&#957;&#940;&#961;&#953;&#959;%20&#922;&#959;&#953;&#957;&#969;&#957;&#953;&#954;&#972;&#962;%20&#913;&#960;&#959;&#954;&#955;&#949;&#953;&#963;&#956;&#972;&#962;\&#928;&#921;&#925;&#913;&#922;&#917;&#931;%20&#916;&#917;&#923;&#932;&#921;&#927;&#933;%201.xlsx" TargetMode="External"/></Relationships>
</file>

<file path=word/charts/_rels/chart4.xml.rels><?xml version="1.0" encoding="UTF-8" standalone="yes"?>
<Relationships xmlns="http://schemas.openxmlformats.org/package/2006/relationships"><Relationship Id="rId2" Type="http://schemas.openxmlformats.org/officeDocument/2006/relationships/oleObject" Target="file:///C:\Users\fprovi\Desktop\&#916;&#917;&#923;&#932;&#921;&#913;%20&#932;&#933;&#928;&#927;&#933;%20&#928;&#913;&#929;&#913;&#932;&#919;&#929;&#919;&#932;&#919;&#929;&#921;&#927;\sev%20deprivation.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file:///C:\Users\dlogaras\Documents\N&#949;&#945;%20&#922;&#965;&#946;&#941;&#961;&#957;&#951;&#963;&#951;%20&#931;&#945;&#956;&#945;&#961;&#940;\&#925;&#917;&#927;%20&#917;&#931;&#928;&#913;\&#931;&#949;&#956;&#953;&#957;&#940;&#961;&#953;&#959;%20&#922;&#959;&#953;&#957;&#969;&#957;&#953;&#954;&#972;&#962;%20&#913;&#960;&#959;&#954;&#955;&#949;&#953;&#963;&#956;&#972;&#962;\&#928;&#921;&#925;&#913;&#922;&#917;&#931;%20&#916;&#917;&#923;&#932;&#921;&#927;&#933;%2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Φύλλο9!$A$3</c:f>
              <c:strCache>
                <c:ptCount val="1"/>
                <c:pt idx="0">
                  <c:v>ΑΤΟΜΑ ΜΕ ΑΝΑΠΗΡΙΑ</c:v>
                </c:pt>
              </c:strCache>
            </c:strRef>
          </c:tx>
          <c:spPr>
            <a:solidFill>
              <a:schemeClr val="accent1"/>
            </a:solidFill>
            <a:ln>
              <a:noFill/>
            </a:ln>
            <a:effectLst/>
          </c:spPr>
          <c:invertIfNegative val="0"/>
          <c:dLbls>
            <c:dLbl>
              <c:idx val="12"/>
              <c:layout>
                <c:manualLayout>
                  <c:x val="-1.7608213099124075E-2"/>
                  <c:y val="-9.9999973753288531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C374-4A6B-88AB-5C331C0A6ABE}"/>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el-G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Φύλλο9!$B$2:$N$2</c:f>
              <c:strCache>
                <c:ptCount val="13"/>
                <c:pt idx="0">
                  <c:v>16-19</c:v>
                </c:pt>
                <c:pt idx="1">
                  <c:v>20-24</c:v>
                </c:pt>
                <c:pt idx="2">
                  <c:v>25-29</c:v>
                </c:pt>
                <c:pt idx="3">
                  <c:v>30-34</c:v>
                </c:pt>
                <c:pt idx="4">
                  <c:v>35-39</c:v>
                </c:pt>
                <c:pt idx="5">
                  <c:v>40-44</c:v>
                </c:pt>
                <c:pt idx="6">
                  <c:v>45-49</c:v>
                </c:pt>
                <c:pt idx="7">
                  <c:v>50-54</c:v>
                </c:pt>
                <c:pt idx="8">
                  <c:v>55-59</c:v>
                </c:pt>
                <c:pt idx="9">
                  <c:v>60-64</c:v>
                </c:pt>
                <c:pt idx="10">
                  <c:v>65-69</c:v>
                </c:pt>
                <c:pt idx="11">
                  <c:v>70+</c:v>
                </c:pt>
                <c:pt idx="12">
                  <c:v>ΣΥΝΟΛΟ</c:v>
                </c:pt>
              </c:strCache>
            </c:strRef>
          </c:cat>
          <c:val>
            <c:numRef>
              <c:f>Φύλλο9!$B$3:$N$3</c:f>
              <c:numCache>
                <c:formatCode>###0.0%</c:formatCode>
                <c:ptCount val="13"/>
                <c:pt idx="0">
                  <c:v>0.71525054466230942</c:v>
                </c:pt>
                <c:pt idx="1">
                  <c:v>0.57557617479796375</c:v>
                </c:pt>
                <c:pt idx="2">
                  <c:v>0.63465765468732893</c:v>
                </c:pt>
                <c:pt idx="3">
                  <c:v>0.54200736065546451</c:v>
                </c:pt>
                <c:pt idx="4">
                  <c:v>0.52713156085262358</c:v>
                </c:pt>
                <c:pt idx="5">
                  <c:v>0.56409506398537523</c:v>
                </c:pt>
                <c:pt idx="6">
                  <c:v>0.5392297715254919</c:v>
                </c:pt>
                <c:pt idx="7">
                  <c:v>0.58093388499535537</c:v>
                </c:pt>
                <c:pt idx="8">
                  <c:v>0.58709469442578965</c:v>
                </c:pt>
                <c:pt idx="9">
                  <c:v>0.34221404705180208</c:v>
                </c:pt>
                <c:pt idx="10">
                  <c:v>0.27988539600983242</c:v>
                </c:pt>
                <c:pt idx="11">
                  <c:v>0.23311595675580901</c:v>
                </c:pt>
                <c:pt idx="12">
                  <c:v>0.35578199126477111</c:v>
                </c:pt>
              </c:numCache>
            </c:numRef>
          </c:val>
          <c:extLst xmlns:c16r2="http://schemas.microsoft.com/office/drawing/2015/06/chart">
            <c:ext xmlns:c16="http://schemas.microsoft.com/office/drawing/2014/chart" uri="{C3380CC4-5D6E-409C-BE32-E72D297353CC}">
              <c16:uniqueId val="{00000001-C374-4A6B-88AB-5C331C0A6ABE}"/>
            </c:ext>
          </c:extLst>
        </c:ser>
        <c:ser>
          <c:idx val="1"/>
          <c:order val="1"/>
          <c:tx>
            <c:strRef>
              <c:f>Φύλλο9!$A$4</c:f>
              <c:strCache>
                <c:ptCount val="1"/>
                <c:pt idx="0">
                  <c:v>ΑΤΟΜΑ ΧΩΡΙΣ ΑΝΑΠΗΡΙΑ</c:v>
                </c:pt>
              </c:strCache>
            </c:strRef>
          </c:tx>
          <c:spPr>
            <a:solidFill>
              <a:schemeClr val="accent2"/>
            </a:solidFill>
            <a:ln>
              <a:noFill/>
            </a:ln>
            <a:effectLst/>
          </c:spPr>
          <c:invertIfNegative val="0"/>
          <c:dLbls>
            <c:dLbl>
              <c:idx val="12"/>
              <c:layout>
                <c:manualLayout>
                  <c:x val="1.7608213099123932E-2"/>
                  <c:y val="-4.9999986876643941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C374-4A6B-88AB-5C331C0A6ABE}"/>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el-G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Φύλλο9!$B$2:$N$2</c:f>
              <c:strCache>
                <c:ptCount val="13"/>
                <c:pt idx="0">
                  <c:v>16-19</c:v>
                </c:pt>
                <c:pt idx="1">
                  <c:v>20-24</c:v>
                </c:pt>
                <c:pt idx="2">
                  <c:v>25-29</c:v>
                </c:pt>
                <c:pt idx="3">
                  <c:v>30-34</c:v>
                </c:pt>
                <c:pt idx="4">
                  <c:v>35-39</c:v>
                </c:pt>
                <c:pt idx="5">
                  <c:v>40-44</c:v>
                </c:pt>
                <c:pt idx="6">
                  <c:v>45-49</c:v>
                </c:pt>
                <c:pt idx="7">
                  <c:v>50-54</c:v>
                </c:pt>
                <c:pt idx="8">
                  <c:v>55-59</c:v>
                </c:pt>
                <c:pt idx="9">
                  <c:v>60-64</c:v>
                </c:pt>
                <c:pt idx="10">
                  <c:v>65-69</c:v>
                </c:pt>
                <c:pt idx="11">
                  <c:v>70+</c:v>
                </c:pt>
                <c:pt idx="12">
                  <c:v>ΣΥΝΟΛΟ</c:v>
                </c:pt>
              </c:strCache>
            </c:strRef>
          </c:cat>
          <c:val>
            <c:numRef>
              <c:f>Φύλλο9!$B$4:$N$4</c:f>
              <c:numCache>
                <c:formatCode>###0.0%</c:formatCode>
                <c:ptCount val="13"/>
                <c:pt idx="0">
                  <c:v>0.46566514457375124</c:v>
                </c:pt>
                <c:pt idx="1">
                  <c:v>0.49083326792990778</c:v>
                </c:pt>
                <c:pt idx="2">
                  <c:v>0.44732971669680538</c:v>
                </c:pt>
                <c:pt idx="3">
                  <c:v>0.32537356358983044</c:v>
                </c:pt>
                <c:pt idx="4">
                  <c:v>0.31032162492045495</c:v>
                </c:pt>
                <c:pt idx="5">
                  <c:v>0.36502144754529248</c:v>
                </c:pt>
                <c:pt idx="6">
                  <c:v>0.35175046488830392</c:v>
                </c:pt>
                <c:pt idx="7">
                  <c:v>0.38381843577674307</c:v>
                </c:pt>
                <c:pt idx="8">
                  <c:v>0.47305897756052212</c:v>
                </c:pt>
                <c:pt idx="9">
                  <c:v>0.21797678921538791</c:v>
                </c:pt>
                <c:pt idx="10">
                  <c:v>0.18523116650941074</c:v>
                </c:pt>
                <c:pt idx="11">
                  <c:v>0.1809422382452619</c:v>
                </c:pt>
                <c:pt idx="12">
                  <c:v>0.35262423384834357</c:v>
                </c:pt>
              </c:numCache>
            </c:numRef>
          </c:val>
          <c:extLst xmlns:c16r2="http://schemas.microsoft.com/office/drawing/2015/06/chart">
            <c:ext xmlns:c16="http://schemas.microsoft.com/office/drawing/2014/chart" uri="{C3380CC4-5D6E-409C-BE32-E72D297353CC}">
              <c16:uniqueId val="{00000003-C374-4A6B-88AB-5C331C0A6ABE}"/>
            </c:ext>
          </c:extLst>
        </c:ser>
        <c:dLbls>
          <c:showLegendKey val="0"/>
          <c:showVal val="0"/>
          <c:showCatName val="0"/>
          <c:showSerName val="0"/>
          <c:showPercent val="0"/>
          <c:showBubbleSize val="0"/>
        </c:dLbls>
        <c:gapWidth val="219"/>
        <c:overlap val="-27"/>
        <c:axId val="335969080"/>
        <c:axId val="335970648"/>
      </c:barChart>
      <c:catAx>
        <c:axId val="3359690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el-GR"/>
          </a:p>
        </c:txPr>
        <c:crossAx val="335970648"/>
        <c:crosses val="autoZero"/>
        <c:auto val="1"/>
        <c:lblAlgn val="ctr"/>
        <c:lblOffset val="100"/>
        <c:noMultiLvlLbl val="0"/>
      </c:catAx>
      <c:valAx>
        <c:axId val="335970648"/>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el-GR"/>
          </a:p>
        </c:txPr>
        <c:crossAx val="3359690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el-G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l-GR"/>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l-GR"/>
              <a:t>ΥΠΟ-ΔΕΙΚΤΗΣ 1: ΠΟΣΟΣΤΟ ΠΛΗΘΥΣΜΟΥ ΣΕ ΚΙΝΔΥΝΟ ΦΤΩΧΕΙΑΣ Η ΚΟΙΝΩΝΙΚΟΥ ΑΠΟΚΛΕΙΣΜΟΥ ΣΤΑ ΑΤΟΜΑ ΜΕ ΑΝΑΠΗΡΙΑ 16-64 ΕΤΩΝ</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l-GR"/>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l-G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Φύλλο10!$A$3:$C$3</c:f>
              <c:strCache>
                <c:ptCount val="3"/>
                <c:pt idx="0">
                  <c:v>Με σοβαρό περιορισμό</c:v>
                </c:pt>
                <c:pt idx="1">
                  <c:v>Με μέτριο περιορισμό</c:v>
                </c:pt>
                <c:pt idx="2">
                  <c:v>Χωρίς κανέναν περιορισμό</c:v>
                </c:pt>
              </c:strCache>
            </c:strRef>
          </c:cat>
          <c:val>
            <c:numRef>
              <c:f>Φύλλο10!$A$4:$C$4</c:f>
              <c:numCache>
                <c:formatCode>0.0%</c:formatCode>
                <c:ptCount val="3"/>
                <c:pt idx="0">
                  <c:v>0.58199999999999996</c:v>
                </c:pt>
                <c:pt idx="1">
                  <c:v>0.47799999999999998</c:v>
                </c:pt>
                <c:pt idx="2">
                  <c:v>0.379</c:v>
                </c:pt>
              </c:numCache>
            </c:numRef>
          </c:val>
          <c:extLst xmlns:c16r2="http://schemas.microsoft.com/office/drawing/2015/06/chart">
            <c:ext xmlns:c16="http://schemas.microsoft.com/office/drawing/2014/chart" uri="{C3380CC4-5D6E-409C-BE32-E72D297353CC}">
              <c16:uniqueId val="{00000000-9C30-4467-9092-2D1035352636}"/>
            </c:ext>
          </c:extLst>
        </c:ser>
        <c:dLbls>
          <c:showLegendKey val="0"/>
          <c:showVal val="0"/>
          <c:showCatName val="0"/>
          <c:showSerName val="0"/>
          <c:showPercent val="0"/>
          <c:showBubbleSize val="0"/>
        </c:dLbls>
        <c:gapWidth val="219"/>
        <c:overlap val="-27"/>
        <c:axId val="330759040"/>
        <c:axId val="330760608"/>
      </c:barChart>
      <c:catAx>
        <c:axId val="330759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l-GR"/>
          </a:p>
        </c:txPr>
        <c:crossAx val="330760608"/>
        <c:crosses val="autoZero"/>
        <c:auto val="1"/>
        <c:lblAlgn val="ctr"/>
        <c:lblOffset val="100"/>
        <c:noMultiLvlLbl val="0"/>
      </c:catAx>
      <c:valAx>
        <c:axId val="330760608"/>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l-GR"/>
          </a:p>
        </c:txPr>
        <c:crossAx val="33075904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l-GR"/>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l-GR"/>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l-GR"/>
              <a:t>ΥΠΟ-ΔΕΙΚΤΗΣ</a:t>
            </a:r>
            <a:r>
              <a:rPr lang="el-GR" baseline="0"/>
              <a:t> 1: </a:t>
            </a:r>
            <a:r>
              <a:rPr lang="el-GR"/>
              <a:t>ΚΙΝΔΥΝΟΣ ΦΤΩΧΕΙΑΣ ΣΤΟΝ ΠΛΗΘΥΣΜΟ ΜΕ</a:t>
            </a:r>
            <a:r>
              <a:rPr lang="el-GR" baseline="0"/>
              <a:t> ΣΟΒΑΡΗ ΑΝΑΠΗΡΙΑ </a:t>
            </a:r>
            <a:r>
              <a:rPr lang="el-GR"/>
              <a:t>16-64 ΕΤΩΝ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l-GR"/>
        </a:p>
      </c:txPr>
    </c:title>
    <c:autoTitleDeleted val="0"/>
    <c:plotArea>
      <c:layout/>
      <c:barChart>
        <c:barDir val="col"/>
        <c:grouping val="clustered"/>
        <c:varyColors val="0"/>
        <c:ser>
          <c:idx val="1"/>
          <c:order val="1"/>
          <c:tx>
            <c:strRef>
              <c:f>Φύλλο11!$A$8</c:f>
              <c:strCache>
                <c:ptCount val="1"/>
                <c:pt idx="0">
                  <c:v>ΠΟΣΟΣΤΟ ΚΙΝΔΥΝΟΥ ΣΧΕΤΙΚΗΣ ΦΤΩΧΕΙΑΣ ΜΕΤΑ ΤΙΣ ΚΟΙΝΩΝΙΚΕΣ ΜΕΤΑΒΙΒΑΣΕΙΣ  </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l-G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Φύλλο11!$B$2:$D$2</c:f>
              <c:strCache>
                <c:ptCount val="1"/>
                <c:pt idx="0">
                  <c:v>ΜΕ ΣΟΒΑΡΟ ΠΕΡΙΟΡΙΣΜΟ</c:v>
                </c:pt>
              </c:strCache>
            </c:strRef>
          </c:cat>
          <c:val>
            <c:numRef>
              <c:f>Φύλλο11!$B$8:$F$8</c:f>
              <c:numCache>
                <c:formatCode>0.0%</c:formatCode>
                <c:ptCount val="1"/>
                <c:pt idx="0">
                  <c:v>0.248</c:v>
                </c:pt>
              </c:numCache>
            </c:numRef>
          </c:val>
          <c:extLst xmlns:c16r2="http://schemas.microsoft.com/office/drawing/2015/06/chart">
            <c:ext xmlns:c16="http://schemas.microsoft.com/office/drawing/2014/chart" uri="{C3380CC4-5D6E-409C-BE32-E72D297353CC}">
              <c16:uniqueId val="{00000000-BBB1-4F31-AC94-33D22D28E4FC}"/>
            </c:ext>
          </c:extLst>
        </c:ser>
        <c:ser>
          <c:idx val="3"/>
          <c:order val="3"/>
          <c:tx>
            <c:strRef>
              <c:f>Φύλλο11!$A$10</c:f>
              <c:strCache>
                <c:ptCount val="1"/>
                <c:pt idx="0">
                  <c:v>ΠΟΣΟΣΤΟ ΚΙΝΔΥΝΟΥ ΣΧΕΤΙΚΗΣ ΦΤΩΧΕΙΑΣ  ΠΡΙΝ ΑΠΟ ΟΛΕΣ ΤΙΣ ΚΟΙΝΩΝΙΚΕΣ ΜΕΤΑΒΙΒΑΣΕΙΣ </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l-G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Φύλλο11!$B$2:$D$2</c:f>
              <c:strCache>
                <c:ptCount val="1"/>
                <c:pt idx="0">
                  <c:v>ΜΕ ΣΟΒΑΡΟ ΠΕΡΙΟΡΙΣΜΟ</c:v>
                </c:pt>
              </c:strCache>
            </c:strRef>
          </c:cat>
          <c:val>
            <c:numRef>
              <c:f>Φύλλο11!$B$10:$F$10</c:f>
              <c:numCache>
                <c:formatCode>0.0%</c:formatCode>
                <c:ptCount val="1"/>
                <c:pt idx="0">
                  <c:v>0.67</c:v>
                </c:pt>
              </c:numCache>
            </c:numRef>
          </c:val>
          <c:extLst xmlns:c16r2="http://schemas.microsoft.com/office/drawing/2015/06/chart">
            <c:ext xmlns:c16="http://schemas.microsoft.com/office/drawing/2014/chart" uri="{C3380CC4-5D6E-409C-BE32-E72D297353CC}">
              <c16:uniqueId val="{00000001-BBB1-4F31-AC94-33D22D28E4FC}"/>
            </c:ext>
          </c:extLst>
        </c:ser>
        <c:dLbls>
          <c:showLegendKey val="0"/>
          <c:showVal val="0"/>
          <c:showCatName val="0"/>
          <c:showSerName val="0"/>
          <c:showPercent val="0"/>
          <c:showBubbleSize val="0"/>
        </c:dLbls>
        <c:gapWidth val="219"/>
        <c:overlap val="-27"/>
        <c:axId val="332458856"/>
        <c:axId val="258157288"/>
        <c:extLst xmlns:c16r2="http://schemas.microsoft.com/office/drawing/2015/06/chart">
          <c:ext xmlns:c15="http://schemas.microsoft.com/office/drawing/2012/chart" uri="{02D57815-91ED-43cb-92C2-25804820EDAC}">
            <c15:filteredBarSeries>
              <c15:ser>
                <c:idx val="0"/>
                <c:order val="0"/>
                <c:tx>
                  <c:strRef>
                    <c:extLst xmlns:c16r2="http://schemas.microsoft.com/office/drawing/2015/06/chart">
                      <c:ext uri="{02D57815-91ED-43cb-92C2-25804820EDAC}">
                        <c15:formulaRef>
                          <c15:sqref>Φύλλο11!$A$7</c15:sqref>
                        </c15:formulaRef>
                      </c:ext>
                    </c:extLst>
                    <c:strCache>
                      <c:ptCount val="1"/>
                      <c:pt idx="0">
                        <c:v>ΚΙΝΔΥΝΟΣ ΣΧΕΤΙΚΗΣ ΦΤΩΧΕΙΑΣ (ΜΕ ΚΑΤΩΦΛΙ ΤΟ ΔΙΑΜΕΣΟ ΙΣΟΔΥΝΑΜΟ ΕΙΣΟΔΗΜΑ) ΣΤΟΝ ΠΛΗΘΥΣΜΟ ΗΛΙΚΙΑΣ 16-64 ΚΑΙ ΑΝΑΠΗΡΙΑ</c:v>
                      </c:pt>
                    </c:strCache>
                  </c:strRef>
                </c:tx>
                <c:spPr>
                  <a:solidFill>
                    <a:schemeClr val="accent1"/>
                  </a:solidFill>
                  <a:ln>
                    <a:noFill/>
                  </a:ln>
                  <a:effectLst/>
                </c:spPr>
                <c:invertIfNegative val="0"/>
                <c:cat>
                  <c:strRef>
                    <c:extLst xmlns:c16r2="http://schemas.microsoft.com/office/drawing/2015/06/chart">
                      <c:ext uri="{02D57815-91ED-43cb-92C2-25804820EDAC}">
                        <c15:formulaRef>
                          <c15:sqref>Φύλλο11!$B$2:$D$2</c15:sqref>
                        </c15:formulaRef>
                      </c:ext>
                    </c:extLst>
                    <c:strCache>
                      <c:ptCount val="1"/>
                      <c:pt idx="0">
                        <c:v>ΜΕ ΣΟΒΑΡΟ ΠΕΡΙΟΡΙΣΜΟ</c:v>
                      </c:pt>
                    </c:strCache>
                  </c:strRef>
                </c:cat>
                <c:val>
                  <c:numRef>
                    <c:extLst xmlns:c16r2="http://schemas.microsoft.com/office/drawing/2015/06/chart">
                      <c:ext uri="{02D57815-91ED-43cb-92C2-25804820EDAC}">
                        <c15:formulaRef>
                          <c15:sqref>Φύλλο11!$B$7:$F$7</c15:sqref>
                        </c15:formulaRef>
                      </c:ext>
                    </c:extLst>
                    <c:numCache>
                      <c:formatCode>General</c:formatCode>
                      <c:ptCount val="1"/>
                    </c:numCache>
                  </c:numRef>
                </c:val>
                <c:extLst xmlns:c16r2="http://schemas.microsoft.com/office/drawing/2015/06/chart">
                  <c:ext xmlns:c16="http://schemas.microsoft.com/office/drawing/2014/chart" uri="{C3380CC4-5D6E-409C-BE32-E72D297353CC}">
                    <c16:uniqueId val="{00000002-BBB1-4F31-AC94-33D22D28E4FC}"/>
                  </c:ext>
                </c:extLst>
              </c15:ser>
            </c15:filteredBarSeries>
            <c15:filteredBarSeries>
              <c15:ser>
                <c:idx val="2"/>
                <c:order val="2"/>
                <c:tx>
                  <c:strRef>
                    <c:extLst xmlns:c15="http://schemas.microsoft.com/office/drawing/2012/chart" xmlns:c16r2="http://schemas.microsoft.com/office/drawing/2015/06/chart">
                      <c:ext xmlns:c15="http://schemas.microsoft.com/office/drawing/2012/chart" uri="{02D57815-91ED-43cb-92C2-25804820EDAC}">
                        <c15:formulaRef>
                          <c15:sqref>Φύλλο11!$A$9</c15:sqref>
                        </c15:formulaRef>
                      </c:ext>
                    </c:extLst>
                    <c:strCache>
                      <c:ptCount val="1"/>
                      <c:pt idx="0">
                        <c:v>ΠΟΣΟΣΤΟ ΚΙΝΔΥΝΟΥ ΣΧΕΤΙΚΗΣ ΦΤΩΧΕΙΑΣ ΠΡΙΝ ΑΠΟ ΤΙΣ ΚΟΙΝΩΝΙΚΕΣ ΜΕΤΑΒΙΒΑΣΕΙΣ ΜΕ ΕΞΑΙΡΕΣΗ ΤΙΣ ΣΥΝΤΑΞΕΙΣ</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l-GR"/>
                    </a:p>
                  </c:txPr>
                  <c:showLegendKey val="0"/>
                  <c:showVal val="1"/>
                  <c:showCatName val="0"/>
                  <c:showSerName val="0"/>
                  <c:showPercent val="0"/>
                  <c:showBubbleSize val="0"/>
                  <c:showLeaderLines val="0"/>
                  <c:extLst xmlns:c15="http://schemas.microsoft.com/office/drawing/2012/char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xmlns:c16r2="http://schemas.microsoft.com/office/drawing/2015/06/chart">
                      <c:ext xmlns:c15="http://schemas.microsoft.com/office/drawing/2012/chart" uri="{02D57815-91ED-43cb-92C2-25804820EDAC}">
                        <c15:formulaRef>
                          <c15:sqref>Φύλλο11!$B$2:$D$2</c15:sqref>
                        </c15:formulaRef>
                      </c:ext>
                    </c:extLst>
                    <c:strCache>
                      <c:ptCount val="1"/>
                      <c:pt idx="0">
                        <c:v>ΜΕ ΣΟΒΑΡΟ ΠΕΡΙΟΡΙΣΜΟ</c:v>
                      </c:pt>
                    </c:strCache>
                  </c:strRef>
                </c:cat>
                <c:val>
                  <c:numRef>
                    <c:extLst xmlns:c15="http://schemas.microsoft.com/office/drawing/2012/chart" xmlns:c16r2="http://schemas.microsoft.com/office/drawing/2015/06/chart">
                      <c:ext xmlns:c15="http://schemas.microsoft.com/office/drawing/2012/chart" uri="{02D57815-91ED-43cb-92C2-25804820EDAC}">
                        <c15:formulaRef>
                          <c15:sqref>Φύλλο11!$B$9:$F$9</c15:sqref>
                        </c15:formulaRef>
                      </c:ext>
                    </c:extLst>
                    <c:numCache>
                      <c:formatCode>0.0%</c:formatCode>
                      <c:ptCount val="1"/>
                      <c:pt idx="0">
                        <c:v>0.39</c:v>
                      </c:pt>
                    </c:numCache>
                  </c:numRef>
                </c:val>
                <c:extLst xmlns:c15="http://schemas.microsoft.com/office/drawing/2012/chart" xmlns:c16r2="http://schemas.microsoft.com/office/drawing/2015/06/chart">
                  <c:ext xmlns:c16="http://schemas.microsoft.com/office/drawing/2014/chart" uri="{C3380CC4-5D6E-409C-BE32-E72D297353CC}">
                    <c16:uniqueId val="{00000003-BBB1-4F31-AC94-33D22D28E4FC}"/>
                  </c:ext>
                </c:extLst>
              </c15:ser>
            </c15:filteredBarSeries>
          </c:ext>
        </c:extLst>
      </c:barChart>
      <c:catAx>
        <c:axId val="3324588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l-GR"/>
          </a:p>
        </c:txPr>
        <c:crossAx val="258157288"/>
        <c:crosses val="autoZero"/>
        <c:auto val="1"/>
        <c:lblAlgn val="ctr"/>
        <c:lblOffset val="100"/>
        <c:noMultiLvlLbl val="0"/>
      </c:catAx>
      <c:valAx>
        <c:axId val="258157288"/>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l-GR"/>
          </a:p>
        </c:txPr>
        <c:crossAx val="332458856"/>
        <c:crosses val="autoZero"/>
        <c:crossBetween val="between"/>
      </c:valAx>
      <c:spPr>
        <a:noFill/>
        <a:ln>
          <a:noFill/>
        </a:ln>
        <a:effectLst/>
      </c:spPr>
    </c:plotArea>
    <c:legend>
      <c:legendPos val="b"/>
      <c:layout>
        <c:manualLayout>
          <c:xMode val="edge"/>
          <c:yMode val="edge"/>
          <c:x val="5.5046369203849518E-2"/>
          <c:y val="0.82795709591419198"/>
          <c:w val="0.88990704286964128"/>
          <c:h val="0.1720429040858081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l-G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l-GR"/>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cap="all" spc="0" baseline="0">
                <a:solidFill>
                  <a:schemeClr val="tx1">
                    <a:lumMod val="65000"/>
                    <a:lumOff val="35000"/>
                  </a:schemeClr>
                </a:solidFill>
                <a:latin typeface="+mn-lt"/>
                <a:ea typeface="+mn-ea"/>
                <a:cs typeface="+mn-cs"/>
              </a:defRPr>
            </a:pPr>
            <a:r>
              <a:rPr lang="el-GR" cap="all" baseline="0"/>
              <a:t>ΥΠΟ-ΔΕΙΚΤΗΣ 2: Ποσοστο πληθυσμου με και χωρισ αναπηρια που διαβιει σε νοικοκυρια με υλικη στερηση ανα ηλικιακη κατηγορια</a:t>
            </a:r>
          </a:p>
        </c:rich>
      </c:tx>
      <c:layout>
        <c:manualLayout>
          <c:xMode val="edge"/>
          <c:yMode val="edge"/>
          <c:x val="0.14294501161662374"/>
          <c:y val="2.6778765361106841E-3"/>
        </c:manualLayout>
      </c:layout>
      <c:overlay val="0"/>
      <c:spPr>
        <a:noFill/>
        <a:ln>
          <a:noFill/>
        </a:ln>
        <a:effectLst/>
      </c:spPr>
    </c:title>
    <c:autoTitleDeleted val="0"/>
    <c:plotArea>
      <c:layout/>
      <c:barChart>
        <c:barDir val="col"/>
        <c:grouping val="clustered"/>
        <c:varyColors val="0"/>
        <c:ser>
          <c:idx val="0"/>
          <c:order val="0"/>
          <c:tx>
            <c:strRef>
              <c:f>Φύλλο4!$B$4</c:f>
              <c:strCache>
                <c:ptCount val="1"/>
                <c:pt idx="0">
                  <c:v>ΑΤΟΜΑ ΜΕ ΑΝΑΠΗΡΙΑ</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el-G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Φύλλο4!$A$4:$A$17</c:f>
              <c:strCache>
                <c:ptCount val="13"/>
                <c:pt idx="0">
                  <c:v>16-19</c:v>
                </c:pt>
                <c:pt idx="1">
                  <c:v>20-24</c:v>
                </c:pt>
                <c:pt idx="2">
                  <c:v>25-29</c:v>
                </c:pt>
                <c:pt idx="3">
                  <c:v>30-34</c:v>
                </c:pt>
                <c:pt idx="4">
                  <c:v>35-39</c:v>
                </c:pt>
                <c:pt idx="5">
                  <c:v>40-44</c:v>
                </c:pt>
                <c:pt idx="6">
                  <c:v>45-49</c:v>
                </c:pt>
                <c:pt idx="7">
                  <c:v>50-54</c:v>
                </c:pt>
                <c:pt idx="8">
                  <c:v>55-59</c:v>
                </c:pt>
                <c:pt idx="9">
                  <c:v>60-64</c:v>
                </c:pt>
                <c:pt idx="10">
                  <c:v>65-69</c:v>
                </c:pt>
                <c:pt idx="11">
                  <c:v>70+</c:v>
                </c:pt>
                <c:pt idx="12">
                  <c:v>ΣΥΝΟΛΟ</c:v>
                </c:pt>
              </c:strCache>
            </c:strRef>
          </c:cat>
          <c:val>
            <c:numRef>
              <c:f>Φύλλο4!$B$4:$B$17</c:f>
              <c:numCache>
                <c:formatCode>###0.0%</c:formatCode>
                <c:ptCount val="13"/>
                <c:pt idx="0">
                  <c:v>0.49324618736383463</c:v>
                </c:pt>
                <c:pt idx="1">
                  <c:v>0.35112485658702047</c:v>
                </c:pt>
                <c:pt idx="2">
                  <c:v>0.42952522255192876</c:v>
                </c:pt>
                <c:pt idx="3">
                  <c:v>0.36021648626144903</c:v>
                </c:pt>
                <c:pt idx="4">
                  <c:v>0.30035239514095857</c:v>
                </c:pt>
                <c:pt idx="5">
                  <c:v>0.38468007312614305</c:v>
                </c:pt>
                <c:pt idx="6">
                  <c:v>0.36686986800227522</c:v>
                </c:pt>
                <c:pt idx="7">
                  <c:v>0.40038227414736788</c:v>
                </c:pt>
                <c:pt idx="8">
                  <c:v>0.29426997985225029</c:v>
                </c:pt>
                <c:pt idx="9">
                  <c:v>0.26873177699939327</c:v>
                </c:pt>
                <c:pt idx="10">
                  <c:v>0.21754952998939095</c:v>
                </c:pt>
                <c:pt idx="11">
                  <c:v>0.15953253123913491</c:v>
                </c:pt>
                <c:pt idx="12">
                  <c:v>0.23885609383662684</c:v>
                </c:pt>
              </c:numCache>
            </c:numRef>
          </c:val>
          <c:extLst xmlns:c16r2="http://schemas.microsoft.com/office/drawing/2015/06/chart">
            <c:ext xmlns:c16="http://schemas.microsoft.com/office/drawing/2014/chart" uri="{C3380CC4-5D6E-409C-BE32-E72D297353CC}">
              <c16:uniqueId val="{00000000-1173-49D7-A71E-BF58308D25B7}"/>
            </c:ext>
          </c:extLst>
        </c:ser>
        <c:ser>
          <c:idx val="1"/>
          <c:order val="1"/>
          <c:tx>
            <c:strRef>
              <c:f>Φύλλο4!$C$4</c:f>
              <c:strCache>
                <c:ptCount val="1"/>
                <c:pt idx="0">
                  <c:v>ΑΤΟΜΑ ΧΩΡΙΣ ΑΝΑΠΗΡΙΑ</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el-G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Φύλλο4!$A$4:$A$17</c:f>
              <c:strCache>
                <c:ptCount val="13"/>
                <c:pt idx="0">
                  <c:v>16-19</c:v>
                </c:pt>
                <c:pt idx="1">
                  <c:v>20-24</c:v>
                </c:pt>
                <c:pt idx="2">
                  <c:v>25-29</c:v>
                </c:pt>
                <c:pt idx="3">
                  <c:v>30-34</c:v>
                </c:pt>
                <c:pt idx="4">
                  <c:v>35-39</c:v>
                </c:pt>
                <c:pt idx="5">
                  <c:v>40-44</c:v>
                </c:pt>
                <c:pt idx="6">
                  <c:v>45-49</c:v>
                </c:pt>
                <c:pt idx="7">
                  <c:v>50-54</c:v>
                </c:pt>
                <c:pt idx="8">
                  <c:v>55-59</c:v>
                </c:pt>
                <c:pt idx="9">
                  <c:v>60-64</c:v>
                </c:pt>
                <c:pt idx="10">
                  <c:v>65-69</c:v>
                </c:pt>
                <c:pt idx="11">
                  <c:v>70+</c:v>
                </c:pt>
                <c:pt idx="12">
                  <c:v>ΣΥΝΟΛΟ</c:v>
                </c:pt>
              </c:strCache>
            </c:strRef>
          </c:cat>
          <c:val>
            <c:numRef>
              <c:f>Φύλλο4!$C$4:$C$17</c:f>
              <c:numCache>
                <c:formatCode>###0.0%</c:formatCode>
                <c:ptCount val="13"/>
                <c:pt idx="0">
                  <c:v>0.31648499346778958</c:v>
                </c:pt>
                <c:pt idx="1">
                  <c:v>0.32190220434760536</c:v>
                </c:pt>
                <c:pt idx="2">
                  <c:v>0.25201836138545047</c:v>
                </c:pt>
                <c:pt idx="3">
                  <c:v>0.20979505706862467</c:v>
                </c:pt>
                <c:pt idx="4">
                  <c:v>0.19514720475916641</c:v>
                </c:pt>
                <c:pt idx="5">
                  <c:v>0.24287163996599659</c:v>
                </c:pt>
                <c:pt idx="6">
                  <c:v>0.22764067801238339</c:v>
                </c:pt>
                <c:pt idx="7">
                  <c:v>0.1977425579498939</c:v>
                </c:pt>
                <c:pt idx="8">
                  <c:v>0.17826553635188724</c:v>
                </c:pt>
                <c:pt idx="9">
                  <c:v>0.13793212627805138</c:v>
                </c:pt>
                <c:pt idx="10">
                  <c:v>0.1208436495718614</c:v>
                </c:pt>
                <c:pt idx="11">
                  <c:v>0.11952251618691964</c:v>
                </c:pt>
                <c:pt idx="12">
                  <c:v>0.21063956787348656</c:v>
                </c:pt>
              </c:numCache>
            </c:numRef>
          </c:val>
          <c:extLst xmlns:c16r2="http://schemas.microsoft.com/office/drawing/2015/06/chart">
            <c:ext xmlns:c16="http://schemas.microsoft.com/office/drawing/2014/chart" uri="{C3380CC4-5D6E-409C-BE32-E72D297353CC}">
              <c16:uniqueId val="{00000001-1173-49D7-A71E-BF58308D25B7}"/>
            </c:ext>
          </c:extLst>
        </c:ser>
        <c:dLbls>
          <c:showLegendKey val="0"/>
          <c:showVal val="0"/>
          <c:showCatName val="0"/>
          <c:showSerName val="0"/>
          <c:showPercent val="0"/>
          <c:showBubbleSize val="0"/>
        </c:dLbls>
        <c:gapWidth val="219"/>
        <c:overlap val="-27"/>
        <c:axId val="173506608"/>
        <c:axId val="175589288"/>
        <c:extLst xmlns:c16r2="http://schemas.microsoft.com/office/drawing/2015/06/chart">
          <c:ext xmlns:c15="http://schemas.microsoft.com/office/drawing/2012/chart" uri="{02D57815-91ED-43cb-92C2-25804820EDAC}">
            <c15:filteredBarSeries>
              <c15:ser>
                <c:idx val="2"/>
                <c:order val="2"/>
                <c:tx>
                  <c:strRef>
                    <c:extLst xmlns:c16r2="http://schemas.microsoft.com/office/drawing/2015/06/chart">
                      <c:ext uri="{02D57815-91ED-43cb-92C2-25804820EDAC}">
                        <c15:formulaRef>
                          <c15:sqref>Φύλλο4!$D$3</c15:sqref>
                        </c15:formulaRef>
                      </c:ext>
                    </c:extLst>
                    <c:strCache>
                      <c:ptCount val="1"/>
                      <c:pt idx="0">
                        <c:v>ΣΥΝΟΛΟ ΠΛΗΘΥΣΜΟΥ</c:v>
                      </c:pt>
                    </c:strCache>
                  </c:strRef>
                </c:tx>
                <c:spPr>
                  <a:solidFill>
                    <a:schemeClr val="accent3"/>
                  </a:solidFill>
                  <a:ln>
                    <a:noFill/>
                  </a:ln>
                  <a:effectLst/>
                </c:spPr>
                <c:invertIfNegative val="0"/>
                <c:cat>
                  <c:strRef>
                    <c:extLst xmlns:c16r2="http://schemas.microsoft.com/office/drawing/2015/06/chart">
                      <c:ext uri="{02D57815-91ED-43cb-92C2-25804820EDAC}">
                        <c15:formulaRef>
                          <c15:sqref>Φύλλο4!$A$4:$A$17</c15:sqref>
                        </c15:formulaRef>
                      </c:ext>
                    </c:extLst>
                    <c:strCache>
                      <c:ptCount val="13"/>
                      <c:pt idx="0">
                        <c:v>16-19</c:v>
                      </c:pt>
                      <c:pt idx="1">
                        <c:v>20-24</c:v>
                      </c:pt>
                      <c:pt idx="2">
                        <c:v>25-29</c:v>
                      </c:pt>
                      <c:pt idx="3">
                        <c:v>30-34</c:v>
                      </c:pt>
                      <c:pt idx="4">
                        <c:v>35-39</c:v>
                      </c:pt>
                      <c:pt idx="5">
                        <c:v>40-44</c:v>
                      </c:pt>
                      <c:pt idx="6">
                        <c:v>45-49</c:v>
                      </c:pt>
                      <c:pt idx="7">
                        <c:v>50-54</c:v>
                      </c:pt>
                      <c:pt idx="8">
                        <c:v>55-59</c:v>
                      </c:pt>
                      <c:pt idx="9">
                        <c:v>60-64</c:v>
                      </c:pt>
                      <c:pt idx="10">
                        <c:v>65-69</c:v>
                      </c:pt>
                      <c:pt idx="11">
                        <c:v>70+</c:v>
                      </c:pt>
                      <c:pt idx="12">
                        <c:v>ΣΥΝΟΛΟ</c:v>
                      </c:pt>
                    </c:strCache>
                  </c:strRef>
                </c:cat>
                <c:val>
                  <c:numRef>
                    <c:extLst xmlns:c16r2="http://schemas.microsoft.com/office/drawing/2015/06/chart">
                      <c:ext uri="{02D57815-91ED-43cb-92C2-25804820EDAC}">
                        <c15:formulaRef>
                          <c15:sqref>Φύλλο4!$D$4:$D$17</c15:sqref>
                        </c15:formulaRef>
                      </c:ext>
                    </c:extLst>
                    <c:numCache>
                      <c:formatCode>###0.0%</c:formatCode>
                      <c:ptCount val="13"/>
                      <c:pt idx="0">
                        <c:v>0.32238470245756401</c:v>
                      </c:pt>
                      <c:pt idx="1">
                        <c:v>0.32309417085979253</c:v>
                      </c:pt>
                      <c:pt idx="2">
                        <c:v>0.26324293614514976</c:v>
                      </c:pt>
                      <c:pt idx="3">
                        <c:v>0.22309906120296807</c:v>
                      </c:pt>
                      <c:pt idx="4">
                        <c:v>0.20392510742053271</c:v>
                      </c:pt>
                      <c:pt idx="5">
                        <c:v>0.25744411978723752</c:v>
                      </c:pt>
                      <c:pt idx="6">
                        <c:v>0.24439990200128744</c:v>
                      </c:pt>
                      <c:pt idx="7">
                        <c:v>0.23296129185466635</c:v>
                      </c:pt>
                      <c:pt idx="8">
                        <c:v>0.2059613539459304</c:v>
                      </c:pt>
                      <c:pt idx="9">
                        <c:v>0.18140709400680979</c:v>
                      </c:pt>
                      <c:pt idx="10">
                        <c:v>0.16281345156432994</c:v>
                      </c:pt>
                      <c:pt idx="11">
                        <c:v>0.14632134752137449</c:v>
                      </c:pt>
                      <c:pt idx="12">
                        <c:v>0.21762214367019894</c:v>
                      </c:pt>
                    </c:numCache>
                  </c:numRef>
                </c:val>
                <c:extLst xmlns:c16r2="http://schemas.microsoft.com/office/drawing/2015/06/chart">
                  <c:ext xmlns:c16="http://schemas.microsoft.com/office/drawing/2014/chart" uri="{C3380CC4-5D6E-409C-BE32-E72D297353CC}">
                    <c16:uniqueId val="{00000002-1173-49D7-A71E-BF58308D25B7}"/>
                  </c:ext>
                </c:extLst>
              </c15:ser>
            </c15:filteredBarSeries>
          </c:ext>
        </c:extLst>
      </c:barChart>
      <c:catAx>
        <c:axId val="1735066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l-GR"/>
          </a:p>
        </c:txPr>
        <c:crossAx val="175589288"/>
        <c:crosses val="autoZero"/>
        <c:auto val="1"/>
        <c:lblAlgn val="ctr"/>
        <c:lblOffset val="100"/>
        <c:noMultiLvlLbl val="0"/>
      </c:catAx>
      <c:valAx>
        <c:axId val="17558928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l-GR"/>
          </a:p>
        </c:txPr>
        <c:crossAx val="1735066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l-G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l-GR"/>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l-GR"/>
              <a:t>ΥΠΟ-ΔΕΙΚΤΗΣ 3: ΠΛΗΘΥΣΜΟΣ 16-59 ΕΤΩΝ ΠΟΥ ΔΙΑΒΙΕΙ ΣΕ ΝΟΙΚΟΚΥΡΙΑ ΜΕ ΧΑΜΗΛΗ ΕΝΤΑΣΗ ΕΡΓΑΣΙΑΣ ΚΑΙ ΑΝΑΠΗΡΙΑ</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l-GR"/>
        </a:p>
      </c:txPr>
    </c:title>
    <c:autoTitleDeleted val="0"/>
    <c:plotArea>
      <c:layout/>
      <c:barChart>
        <c:barDir val="col"/>
        <c:grouping val="clustered"/>
        <c:varyColors val="0"/>
        <c:ser>
          <c:idx val="0"/>
          <c:order val="0"/>
          <c:tx>
            <c:strRef>
              <c:f>Φύλλο14!$A$3</c:f>
              <c:strCache>
                <c:ptCount val="1"/>
                <c:pt idx="0">
                  <c:v>ΠΟΣΟΣΤΟ ΣΕ ΝΟΙΚΟΚΥΡΙΑ ΜΕ ΧΑΜΗΛΗ ΕΝΤΑΣΗ ΕΡΓΑΣΙΑΣ</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l-G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Φύλλο14!$B$1:$E$2</c:f>
              <c:strCache>
                <c:ptCount val="4"/>
                <c:pt idx="0">
                  <c:v>Σοβαρός περιορισμός</c:v>
                </c:pt>
                <c:pt idx="1">
                  <c:v>Μέτριος περιορισμός</c:v>
                </c:pt>
                <c:pt idx="2">
                  <c:v>Κανένας περιορισμός</c:v>
                </c:pt>
                <c:pt idx="3">
                  <c:v>σύνολο</c:v>
                </c:pt>
              </c:strCache>
            </c:strRef>
          </c:cat>
          <c:val>
            <c:numRef>
              <c:f>Φύλλο14!$B$3:$E$3</c:f>
              <c:numCache>
                <c:formatCode>0.0%</c:formatCode>
                <c:ptCount val="4"/>
                <c:pt idx="0">
                  <c:v>0.42799999999999999</c:v>
                </c:pt>
                <c:pt idx="1">
                  <c:v>0.28000000000000003</c:v>
                </c:pt>
                <c:pt idx="2">
                  <c:v>0.17100000000000001</c:v>
                </c:pt>
                <c:pt idx="3">
                  <c:v>0.191</c:v>
                </c:pt>
              </c:numCache>
            </c:numRef>
          </c:val>
          <c:extLst xmlns:c16r2="http://schemas.microsoft.com/office/drawing/2015/06/chart">
            <c:ext xmlns:c16="http://schemas.microsoft.com/office/drawing/2014/chart" uri="{C3380CC4-5D6E-409C-BE32-E72D297353CC}">
              <c16:uniqueId val="{00000000-3B3B-4140-9D1C-0FE776352423}"/>
            </c:ext>
          </c:extLst>
        </c:ser>
        <c:dLbls>
          <c:showLegendKey val="0"/>
          <c:showVal val="0"/>
          <c:showCatName val="0"/>
          <c:showSerName val="0"/>
          <c:showPercent val="0"/>
          <c:showBubbleSize val="0"/>
        </c:dLbls>
        <c:gapWidth val="219"/>
        <c:overlap val="-27"/>
        <c:axId val="337395536"/>
        <c:axId val="337395928"/>
      </c:barChart>
      <c:catAx>
        <c:axId val="3373955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l-GR"/>
          </a:p>
        </c:txPr>
        <c:crossAx val="337395928"/>
        <c:crosses val="autoZero"/>
        <c:auto val="1"/>
        <c:lblAlgn val="ctr"/>
        <c:lblOffset val="100"/>
        <c:noMultiLvlLbl val="0"/>
      </c:catAx>
      <c:valAx>
        <c:axId val="337395928"/>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l-GR"/>
          </a:p>
        </c:txPr>
        <c:crossAx val="3373955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l-GR"/>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0</TotalTime>
  <Pages>6</Pages>
  <Words>1590</Words>
  <Characters>8587</Characters>
  <Application>Microsoft Office Word</Application>
  <DocSecurity>0</DocSecurity>
  <Lines>71</Lines>
  <Paragraphs>20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fprovi</dc:creator>
  <cp:keywords/>
  <cp:lastModifiedBy>tkatsani</cp:lastModifiedBy>
  <cp:revision>2</cp:revision>
  <dcterms:created xsi:type="dcterms:W3CDTF">2018-05-04T12:36:00Z</dcterms:created>
  <dcterms:modified xsi:type="dcterms:W3CDTF">2018-05-04T12:36:00Z</dcterms:modified>
</cp:coreProperties>
</file>