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47506E">
        <w:rPr>
          <w:rFonts w:ascii="Arial Narrow" w:hAnsi="Arial Narrow"/>
          <w:lang w:val="en-US"/>
        </w:rPr>
        <w:t>05</w:t>
      </w:r>
      <w:r w:rsidR="0047506E">
        <w:rPr>
          <w:rFonts w:ascii="Arial Narrow" w:hAnsi="Arial Narrow"/>
        </w:rPr>
        <w:t>.12</w:t>
      </w:r>
      <w:r w:rsidR="00A5663B" w:rsidRPr="00B747D7">
        <w:rPr>
          <w:rFonts w:ascii="Arial Narrow" w:hAnsi="Arial Narrow"/>
        </w:rPr>
        <w:t>.2014</w:t>
      </w:r>
    </w:p>
    <w:p w:rsidR="00A5663B" w:rsidRPr="00B747D7" w:rsidRDefault="004177D2" w:rsidP="00B747D7">
      <w:pPr>
        <w:pStyle w:val="a9"/>
        <w:jc w:val="right"/>
        <w:rPr>
          <w:rFonts w:ascii="Arial Narrow" w:hAnsi="Arial Narrow"/>
        </w:rPr>
      </w:pPr>
      <w:r>
        <w:rPr>
          <w:rFonts w:ascii="Arial Narrow" w:hAnsi="Arial Narrow"/>
        </w:rPr>
        <w:t>Αρ. Πρωτ.:</w:t>
      </w:r>
      <w:r w:rsidR="00A45752">
        <w:rPr>
          <w:rFonts w:ascii="Arial Narrow" w:hAnsi="Arial Narrow"/>
        </w:rPr>
        <w:t>4795</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47506E" w:rsidRDefault="0047506E"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 xml:space="preserve">Ε.Σ.Α.μεΑ.: </w:t>
      </w:r>
      <w:r w:rsidRPr="0047506E">
        <w:rPr>
          <w:rFonts w:ascii="Arial Narrow" w:eastAsia="Batang" w:hAnsi="Arial Narrow" w:cs="Latha"/>
          <w:b/>
          <w:bCs/>
          <w:sz w:val="28"/>
          <w:szCs w:val="28"/>
        </w:rPr>
        <w:t xml:space="preserve">Στοιχεία Eurostat </w:t>
      </w:r>
      <w:r>
        <w:rPr>
          <w:rFonts w:ascii="Arial Narrow" w:eastAsia="Batang" w:hAnsi="Arial Narrow" w:cs="Latha"/>
          <w:b/>
          <w:bCs/>
          <w:sz w:val="28"/>
          <w:szCs w:val="28"/>
        </w:rPr>
        <w:t>-</w:t>
      </w:r>
      <w:r w:rsidRPr="0047506E">
        <w:rPr>
          <w:rFonts w:ascii="Arial Narrow" w:eastAsia="Batang" w:hAnsi="Arial Narrow" w:cs="Latha"/>
          <w:b/>
          <w:bCs/>
          <w:sz w:val="28"/>
          <w:szCs w:val="28"/>
        </w:rPr>
        <w:t xml:space="preserve"> </w:t>
      </w:r>
      <w:r>
        <w:rPr>
          <w:rFonts w:ascii="Arial Narrow" w:eastAsia="Batang" w:hAnsi="Arial Narrow" w:cs="Latha"/>
          <w:b/>
          <w:bCs/>
          <w:sz w:val="28"/>
          <w:szCs w:val="28"/>
        </w:rPr>
        <w:t>Η κατάσταση των ΑμεΑ στην Ευρώπη</w:t>
      </w:r>
    </w:p>
    <w:p w:rsidR="002944DE" w:rsidRPr="00B747D7" w:rsidRDefault="002944DE" w:rsidP="00B747D7">
      <w:pPr>
        <w:pStyle w:val="a9"/>
        <w:rPr>
          <w:rFonts w:ascii="Arial Narrow" w:hAnsi="Arial Narrow"/>
        </w:rPr>
      </w:pPr>
    </w:p>
    <w:p w:rsidR="002F6741" w:rsidRDefault="0047506E" w:rsidP="002F6741">
      <w:pPr>
        <w:pStyle w:val="a9"/>
        <w:rPr>
          <w:rFonts w:ascii="Arial Narrow" w:hAnsi="Arial Narrow"/>
        </w:rPr>
      </w:pPr>
      <w:r w:rsidRPr="0047506E">
        <w:rPr>
          <w:rFonts w:ascii="Arial Narrow" w:hAnsi="Arial Narrow"/>
        </w:rPr>
        <w:t xml:space="preserve">Με την ευκαιρία της Διεθνούς Ημέρας των Ατόμων με Αναπηρία, στις 3 Δεκεμβρίου, η Eurostat, η στατιστική υπηρεσία </w:t>
      </w:r>
      <w:r>
        <w:rPr>
          <w:rFonts w:ascii="Arial Narrow" w:hAnsi="Arial Narrow"/>
        </w:rPr>
        <w:t>της Ευρωπαϊκής Ένωσης, παρέδωσε</w:t>
      </w:r>
      <w:r w:rsidRPr="0047506E">
        <w:rPr>
          <w:rFonts w:ascii="Arial Narrow" w:hAnsi="Arial Narrow"/>
        </w:rPr>
        <w:t xml:space="preserve"> τα στοιχεία σχετικά με την οικονομική και κοινωνική ένταξη των ατόμων με αναπηρία στην Ευρώπη των 28.</w:t>
      </w:r>
      <w:r>
        <w:rPr>
          <w:rFonts w:ascii="Arial Narrow" w:hAnsi="Arial Narrow"/>
        </w:rPr>
        <w:t xml:space="preserve"> Η ΕΣΑμεΑ δίνει σήμερα στη δημοσιότητα τη μεταφρασμένη στα ελληνικά μελέτη. Όπως τονίζει σε κάθε ευκαιρία το αναπηρικό κίνημα, τα άτομα με αναπηρία αντιμετωπίζουν συνεχώς εμπόδια στην εργασία, την εκπαίδευση και την πλήρη ένταξη στην κοινωνία και χρειάζεται συνεχής αγώνας και πίεση ώστε να διασφαλιστούν τα δικαιώματά τους. </w:t>
      </w:r>
    </w:p>
    <w:p w:rsidR="0047506E" w:rsidRDefault="0047506E" w:rsidP="002F6741">
      <w:pPr>
        <w:pStyle w:val="a9"/>
        <w:rPr>
          <w:rFonts w:ascii="Arial Narrow" w:hAnsi="Arial Narrow"/>
        </w:rPr>
      </w:pPr>
    </w:p>
    <w:p w:rsidR="0047506E" w:rsidRPr="0047506E" w:rsidRDefault="0047506E" w:rsidP="0047506E">
      <w:pPr>
        <w:pStyle w:val="a9"/>
        <w:rPr>
          <w:rFonts w:ascii="Arial Narrow" w:hAnsi="Arial Narrow"/>
        </w:rPr>
      </w:pPr>
      <w:r w:rsidRPr="0047506E">
        <w:rPr>
          <w:rFonts w:ascii="Arial Narrow" w:hAnsi="Arial Narrow"/>
        </w:rPr>
        <w:t xml:space="preserve">Περίπου 44 εκατομμύρια άνθρωποι, ηλικίας 15 έως 64 ετών στην Ευρωπαϊκή Ένωση (Ευρώπη των 28) έχουν </w:t>
      </w:r>
      <w:r w:rsidR="00497FC5">
        <w:rPr>
          <w:rFonts w:ascii="Arial Narrow" w:hAnsi="Arial Narrow"/>
        </w:rPr>
        <w:t xml:space="preserve">κάποιας μορφής </w:t>
      </w:r>
      <w:r w:rsidRPr="0047506E">
        <w:rPr>
          <w:rFonts w:ascii="Arial Narrow" w:hAnsi="Arial Narrow"/>
        </w:rPr>
        <w:t>αναπηρία, που συχνά τους εμποδίζει να συμμετέχουν πλήρως στην κοινωνία και την οικονομία. Είτε στην αγορά εργασίας, στο εκπαιδευτικό σύστημα ή στους δείκτες της κοινωνικής ένταξης, η κατάσταση των ατόμων με αναπηρία στην Ευρώπη των 28 είναι λιγότερο ευνοϊκή από εκείνη των ατόμων δίχως αναπηρία.</w:t>
      </w:r>
      <w:r>
        <w:rPr>
          <w:rFonts w:ascii="Arial Narrow" w:hAnsi="Arial Narrow"/>
        </w:rPr>
        <w:t xml:space="preserve"> </w:t>
      </w:r>
    </w:p>
    <w:p w:rsidR="0047506E" w:rsidRPr="0047506E" w:rsidRDefault="0047506E" w:rsidP="0047506E">
      <w:pPr>
        <w:pStyle w:val="a9"/>
        <w:rPr>
          <w:rFonts w:ascii="Arial Narrow" w:hAnsi="Arial Narrow"/>
        </w:rPr>
      </w:pPr>
    </w:p>
    <w:p w:rsidR="0047506E" w:rsidRDefault="0047506E" w:rsidP="0047506E">
      <w:pPr>
        <w:pStyle w:val="a9"/>
        <w:rPr>
          <w:rFonts w:ascii="Arial Narrow" w:hAnsi="Arial Narrow"/>
        </w:rPr>
      </w:pPr>
      <w:r w:rsidRPr="0047506E">
        <w:rPr>
          <w:rFonts w:ascii="Arial Narrow" w:hAnsi="Arial Narrow"/>
        </w:rPr>
        <w:t>Τα άτομα με αναπηρία είχαν περιορισμένη πρόσβαση στην αγορά εργασίας στην Ευρώπη των 28 το 2011: ενώ το ποσοστό απασχόλησης των ατόμων ηλικίας 15 έως 64 ετών χωρίς αναπηρία ήταν 66,9%, το ποσοστό αυτό ήταν πολύ χαμηλότερο (47,3%) για τα άτομα με αναπηρία. Παρόμοια κατάσταση για την πρόσβαση στην εκπαίδευση και τη διά βίου μάθηση στην Ευρώπη των 28: το ποσοστό συμμετοχής στην εκπαίδευση και την κατάρτιση των ατόμων χωρίς αναπηρία ηλικίας 25-64 ετών ήταν 9,8% το 2011, σε σύγκριση με 6,9% για τα άτομα με αναπηρία. Το χάσμα που υπάρχει μεταξύ ατόμων με αναπηρία και των ατόμων δίχως αναπηρία ήταν επίσης αξιοσημείωτο για την κοινωνική ένταξη: μόλις πάνω από το 20% των ατόμων χωρίς αναπηρία σε άτομα ηλικίας 16 ετών και άνω το 2011 και σε 21,4% το 2013, για τα άτομα με αναπηρία βρίσκονταν σε κίνδυνο φτώχειας ή κοινωνικού αποκλεισμού, το ποσοστό αυτό ανήλθε σε σχεδόν 30% για τα άτομα με αναπηρία (29,9%) το 2013.</w:t>
      </w:r>
    </w:p>
    <w:p w:rsidR="002F6741" w:rsidRDefault="002F6741" w:rsidP="002F6741">
      <w:pPr>
        <w:pStyle w:val="a9"/>
        <w:rPr>
          <w:rFonts w:ascii="Arial Narrow" w:hAnsi="Arial Narrow"/>
        </w:rPr>
      </w:pPr>
    </w:p>
    <w:p w:rsidR="002F6741" w:rsidRPr="0047506E" w:rsidRDefault="0047506E" w:rsidP="002F6741">
      <w:pPr>
        <w:pStyle w:val="a9"/>
        <w:rPr>
          <w:rFonts w:ascii="Arial Narrow" w:hAnsi="Arial Narrow"/>
          <w:b/>
          <w:u w:val="single"/>
        </w:rPr>
      </w:pPr>
      <w:r w:rsidRPr="0047506E">
        <w:rPr>
          <w:rFonts w:ascii="Arial Narrow" w:hAnsi="Arial Narrow"/>
          <w:b/>
          <w:u w:val="single"/>
        </w:rPr>
        <w:t xml:space="preserve">Στις επόμενες σελίδες οι πίνακες και η ανάλυση της </w:t>
      </w:r>
      <w:r w:rsidRPr="0047506E">
        <w:rPr>
          <w:rFonts w:ascii="Arial Narrow" w:hAnsi="Arial Narrow"/>
          <w:b/>
          <w:u w:val="single"/>
          <w:lang w:val="en-US"/>
        </w:rPr>
        <w:t>Eurostat</w:t>
      </w:r>
      <w:r w:rsidRPr="0047506E">
        <w:rPr>
          <w:rFonts w:ascii="Arial Narrow" w:hAnsi="Arial Narrow"/>
          <w:b/>
          <w:u w:val="single"/>
        </w:rPr>
        <w:t xml:space="preserve">. </w:t>
      </w:r>
    </w:p>
    <w:p w:rsidR="0047506E" w:rsidRDefault="0047506E" w:rsidP="002F6741">
      <w:pPr>
        <w:pStyle w:val="a9"/>
        <w:rPr>
          <w:rFonts w:ascii="Arial Narrow" w:hAnsi="Arial Narrow"/>
        </w:rPr>
      </w:pPr>
    </w:p>
    <w:p w:rsidR="0047506E" w:rsidRDefault="0047506E" w:rsidP="002F6741">
      <w:pPr>
        <w:pStyle w:val="a9"/>
        <w:rPr>
          <w:rFonts w:ascii="Arial Narrow" w:hAnsi="Arial Narrow"/>
        </w:rPr>
      </w:pPr>
    </w:p>
    <w:p w:rsidR="0047506E" w:rsidRDefault="0047506E" w:rsidP="002F6741">
      <w:pPr>
        <w:pStyle w:val="a9"/>
        <w:rPr>
          <w:rFonts w:ascii="Arial Narrow" w:hAnsi="Arial Narrow"/>
        </w:rPr>
      </w:pPr>
    </w:p>
    <w:p w:rsidR="0047506E" w:rsidRDefault="0047506E" w:rsidP="002F6741">
      <w:pPr>
        <w:pStyle w:val="a9"/>
        <w:rPr>
          <w:rFonts w:ascii="Arial Narrow" w:hAnsi="Arial Narrow"/>
        </w:rPr>
      </w:pPr>
    </w:p>
    <w:p w:rsidR="0047506E" w:rsidRDefault="0047506E" w:rsidP="002F6741">
      <w:pPr>
        <w:pStyle w:val="a9"/>
        <w:rPr>
          <w:rFonts w:ascii="Arial Narrow" w:hAnsi="Arial Narrow"/>
        </w:rPr>
      </w:pPr>
    </w:p>
    <w:p w:rsidR="0047506E" w:rsidRDefault="0047506E" w:rsidP="002F6741">
      <w:pPr>
        <w:pStyle w:val="a9"/>
        <w:rPr>
          <w:rFonts w:ascii="Arial Narrow" w:hAnsi="Arial Narrow"/>
        </w:rPr>
      </w:pPr>
    </w:p>
    <w:p w:rsidR="0047506E" w:rsidRDefault="0047506E" w:rsidP="002F6741">
      <w:pPr>
        <w:pStyle w:val="a9"/>
        <w:rPr>
          <w:rFonts w:ascii="Arial Narrow" w:hAnsi="Arial Narrow"/>
        </w:rPr>
      </w:pPr>
    </w:p>
    <w:p w:rsidR="0047506E" w:rsidRDefault="0047506E" w:rsidP="002F6741">
      <w:pPr>
        <w:pStyle w:val="a9"/>
        <w:rPr>
          <w:rFonts w:ascii="Arial Narrow" w:hAnsi="Arial Narrow"/>
        </w:rPr>
      </w:pPr>
    </w:p>
    <w:p w:rsidR="0047506E" w:rsidRDefault="0047506E" w:rsidP="002F6741">
      <w:pPr>
        <w:pStyle w:val="a9"/>
        <w:rPr>
          <w:rFonts w:ascii="Arial Narrow" w:hAnsi="Arial Narrow"/>
        </w:rPr>
      </w:pPr>
    </w:p>
    <w:p w:rsidR="0047506E" w:rsidRDefault="0047506E" w:rsidP="002F6741">
      <w:pPr>
        <w:pStyle w:val="a9"/>
        <w:rPr>
          <w:rFonts w:ascii="Arial Narrow" w:hAnsi="Arial Narrow"/>
        </w:rPr>
      </w:pPr>
    </w:p>
    <w:p w:rsidR="0047506E" w:rsidRDefault="0047506E" w:rsidP="002F6741">
      <w:pPr>
        <w:pStyle w:val="a9"/>
        <w:rPr>
          <w:rFonts w:ascii="Arial Narrow" w:hAnsi="Arial Narrow"/>
        </w:rPr>
      </w:pPr>
    </w:p>
    <w:p w:rsidR="00E02E65" w:rsidRDefault="00E02E65" w:rsidP="0047506E">
      <w:pPr>
        <w:pStyle w:val="a9"/>
        <w:rPr>
          <w:rFonts w:ascii="Arial Narrow" w:hAnsi="Arial Narrow"/>
          <w:b/>
        </w:rPr>
      </w:pPr>
    </w:p>
    <w:p w:rsidR="00E02E65" w:rsidRDefault="00E02E65" w:rsidP="0047506E">
      <w:pPr>
        <w:pStyle w:val="a9"/>
        <w:rPr>
          <w:rFonts w:ascii="Arial Narrow" w:hAnsi="Arial Narrow"/>
          <w:b/>
        </w:rPr>
      </w:pPr>
    </w:p>
    <w:p w:rsidR="0047506E" w:rsidRDefault="0047506E" w:rsidP="0047506E">
      <w:pPr>
        <w:pStyle w:val="a9"/>
        <w:rPr>
          <w:rFonts w:ascii="Arial Narrow" w:hAnsi="Arial Narrow"/>
          <w:b/>
        </w:rPr>
      </w:pPr>
      <w:r w:rsidRPr="00EB6BED">
        <w:rPr>
          <w:rFonts w:ascii="Arial Narrow" w:hAnsi="Arial Narrow"/>
          <w:b/>
        </w:rPr>
        <w:lastRenderedPageBreak/>
        <w:t>Η πρόσβαση στην απασχόληση, τη δια βίου μάθηση και την κοινωνική ένταξη στην Ευρώπη των 28, με βάση την κατάσταση αναπηρίας, (%)</w:t>
      </w:r>
    </w:p>
    <w:p w:rsidR="0047506E" w:rsidRPr="00EB6BED" w:rsidRDefault="0047506E" w:rsidP="0047506E">
      <w:pPr>
        <w:pStyle w:val="a9"/>
        <w:rPr>
          <w:rFonts w:ascii="Arial Narrow" w:hAnsi="Arial Narrow"/>
          <w:b/>
        </w:rPr>
      </w:pPr>
    </w:p>
    <w:p w:rsidR="0047506E" w:rsidRDefault="0047506E" w:rsidP="0047506E">
      <w:pPr>
        <w:pStyle w:val="a9"/>
        <w:rPr>
          <w:rFonts w:ascii="Arial Narrow" w:hAnsi="Arial Narrow"/>
        </w:rPr>
      </w:pPr>
      <w:r>
        <w:rPr>
          <w:rFonts w:ascii="Arial Narrow" w:hAnsi="Arial Narrow"/>
          <w:noProof/>
          <w:lang w:eastAsia="el-GR"/>
        </w:rPr>
        <w:drawing>
          <wp:inline distT="0" distB="0" distL="0" distR="0" wp14:anchorId="4AAE6B01" wp14:editId="204BEBCB">
            <wp:extent cx="5274310" cy="3110865"/>
            <wp:effectExtent l="0" t="0" r="2540" b="0"/>
            <wp:docPr id="1" name="Εικόνα 1" title="Πίνακας 1 - Πρόσβαση στην απασχόλη, τη δια βίου μάθηση και την κοινωνική ένταξη στην Ευρώπη των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ro1.png"/>
                    <pic:cNvPicPr/>
                  </pic:nvPicPr>
                  <pic:blipFill>
                    <a:blip r:embed="rId14">
                      <a:extLst>
                        <a:ext uri="{28A0092B-C50C-407E-A947-70E740481C1C}">
                          <a14:useLocalDpi xmlns:a14="http://schemas.microsoft.com/office/drawing/2010/main" val="0"/>
                        </a:ext>
                      </a:extLst>
                    </a:blip>
                    <a:stretch>
                      <a:fillRect/>
                    </a:stretch>
                  </pic:blipFill>
                  <pic:spPr>
                    <a:xfrm>
                      <a:off x="0" y="0"/>
                      <a:ext cx="5274310" cy="3110865"/>
                    </a:xfrm>
                    <a:prstGeom prst="rect">
                      <a:avLst/>
                    </a:prstGeom>
                  </pic:spPr>
                </pic:pic>
              </a:graphicData>
            </a:graphic>
          </wp:inline>
        </w:drawing>
      </w:r>
    </w:p>
    <w:p w:rsidR="0047506E" w:rsidRDefault="0047506E" w:rsidP="0047506E">
      <w:pPr>
        <w:pStyle w:val="a9"/>
        <w:rPr>
          <w:rFonts w:ascii="Arial Narrow" w:hAnsi="Arial Narrow"/>
        </w:rPr>
      </w:pPr>
    </w:p>
    <w:p w:rsidR="0047506E" w:rsidRDefault="0047506E" w:rsidP="0047506E">
      <w:pPr>
        <w:pStyle w:val="a9"/>
        <w:rPr>
          <w:rFonts w:ascii="Arial Narrow" w:hAnsi="Arial Narrow"/>
        </w:rPr>
      </w:pPr>
    </w:p>
    <w:p w:rsidR="0047506E" w:rsidRDefault="0047506E" w:rsidP="0047506E">
      <w:pPr>
        <w:pStyle w:val="a9"/>
        <w:rPr>
          <w:rFonts w:ascii="Arial Narrow" w:hAnsi="Arial Narrow"/>
          <w:b/>
        </w:rPr>
      </w:pPr>
    </w:p>
    <w:p w:rsidR="0047506E" w:rsidRDefault="0047506E" w:rsidP="0047506E">
      <w:pPr>
        <w:pStyle w:val="a9"/>
        <w:rPr>
          <w:rFonts w:ascii="Arial Narrow" w:hAnsi="Arial Narrow"/>
          <w:b/>
        </w:rPr>
      </w:pPr>
    </w:p>
    <w:p w:rsidR="0047506E" w:rsidRDefault="0047506E" w:rsidP="0047506E">
      <w:pPr>
        <w:pStyle w:val="a9"/>
        <w:rPr>
          <w:rFonts w:ascii="Arial Narrow" w:hAnsi="Arial Narrow"/>
          <w:b/>
        </w:rPr>
      </w:pPr>
    </w:p>
    <w:p w:rsidR="0047506E" w:rsidRDefault="0047506E" w:rsidP="0047506E">
      <w:pPr>
        <w:pStyle w:val="a9"/>
        <w:rPr>
          <w:rFonts w:ascii="Arial Narrow" w:hAnsi="Arial Narrow"/>
          <w:b/>
        </w:rPr>
      </w:pPr>
    </w:p>
    <w:p w:rsidR="0047506E" w:rsidRDefault="0047506E" w:rsidP="0047506E">
      <w:pPr>
        <w:pStyle w:val="a9"/>
        <w:rPr>
          <w:rFonts w:ascii="Arial Narrow" w:hAnsi="Arial Narrow"/>
          <w:b/>
        </w:rPr>
      </w:pPr>
    </w:p>
    <w:p w:rsidR="0047506E" w:rsidRDefault="0047506E" w:rsidP="0047506E">
      <w:pPr>
        <w:pStyle w:val="a9"/>
        <w:rPr>
          <w:rFonts w:ascii="Arial Narrow" w:hAnsi="Arial Narrow"/>
          <w:b/>
        </w:rPr>
      </w:pPr>
    </w:p>
    <w:p w:rsidR="0047506E" w:rsidRDefault="0047506E" w:rsidP="0047506E">
      <w:pPr>
        <w:pStyle w:val="a9"/>
        <w:rPr>
          <w:rFonts w:ascii="Arial Narrow" w:hAnsi="Arial Narrow"/>
          <w:b/>
        </w:rPr>
      </w:pPr>
    </w:p>
    <w:p w:rsidR="0047506E" w:rsidRDefault="0047506E" w:rsidP="0047506E">
      <w:pPr>
        <w:pStyle w:val="a9"/>
        <w:rPr>
          <w:rFonts w:ascii="Arial Narrow" w:hAnsi="Arial Narrow"/>
          <w:b/>
        </w:rPr>
      </w:pPr>
    </w:p>
    <w:p w:rsidR="0047506E" w:rsidRDefault="0047506E" w:rsidP="0047506E">
      <w:pPr>
        <w:pStyle w:val="a9"/>
        <w:rPr>
          <w:rFonts w:ascii="Arial Narrow" w:hAnsi="Arial Narrow"/>
          <w:b/>
        </w:rPr>
      </w:pPr>
    </w:p>
    <w:p w:rsidR="0047506E" w:rsidRDefault="0047506E" w:rsidP="0047506E">
      <w:pPr>
        <w:pStyle w:val="a9"/>
        <w:rPr>
          <w:rFonts w:ascii="Arial Narrow" w:hAnsi="Arial Narrow"/>
          <w:b/>
        </w:rPr>
      </w:pPr>
    </w:p>
    <w:p w:rsidR="0047506E" w:rsidRDefault="0047506E" w:rsidP="0047506E">
      <w:pPr>
        <w:pStyle w:val="a9"/>
        <w:rPr>
          <w:rFonts w:ascii="Arial Narrow" w:hAnsi="Arial Narrow"/>
          <w:b/>
        </w:rPr>
      </w:pPr>
    </w:p>
    <w:p w:rsidR="0047506E" w:rsidRDefault="0047506E" w:rsidP="0047506E">
      <w:pPr>
        <w:pStyle w:val="a9"/>
        <w:rPr>
          <w:rFonts w:ascii="Arial Narrow" w:hAnsi="Arial Narrow"/>
          <w:b/>
        </w:rPr>
      </w:pPr>
    </w:p>
    <w:p w:rsidR="0047506E" w:rsidRDefault="0047506E" w:rsidP="0047506E">
      <w:pPr>
        <w:pStyle w:val="a9"/>
        <w:rPr>
          <w:rFonts w:ascii="Arial Narrow" w:hAnsi="Arial Narrow"/>
          <w:b/>
        </w:rPr>
      </w:pPr>
    </w:p>
    <w:p w:rsidR="0047506E" w:rsidRDefault="0047506E" w:rsidP="0047506E">
      <w:pPr>
        <w:pStyle w:val="a9"/>
        <w:rPr>
          <w:rFonts w:ascii="Arial Narrow" w:hAnsi="Arial Narrow"/>
          <w:b/>
        </w:rPr>
      </w:pPr>
    </w:p>
    <w:p w:rsidR="0047506E" w:rsidRDefault="0047506E" w:rsidP="0047506E">
      <w:pPr>
        <w:pStyle w:val="a9"/>
        <w:rPr>
          <w:rFonts w:ascii="Arial Narrow" w:hAnsi="Arial Narrow"/>
          <w:b/>
        </w:rPr>
      </w:pPr>
    </w:p>
    <w:p w:rsidR="0047506E" w:rsidRDefault="0047506E" w:rsidP="0047506E">
      <w:pPr>
        <w:pStyle w:val="a9"/>
        <w:rPr>
          <w:rFonts w:ascii="Arial Narrow" w:hAnsi="Arial Narrow"/>
          <w:b/>
        </w:rPr>
      </w:pPr>
    </w:p>
    <w:p w:rsidR="0047506E" w:rsidRDefault="0047506E" w:rsidP="0047506E">
      <w:pPr>
        <w:pStyle w:val="a9"/>
        <w:rPr>
          <w:rFonts w:ascii="Arial Narrow" w:hAnsi="Arial Narrow"/>
          <w:b/>
        </w:rPr>
      </w:pPr>
    </w:p>
    <w:p w:rsidR="0047506E" w:rsidRDefault="0047506E" w:rsidP="0047506E">
      <w:pPr>
        <w:pStyle w:val="a9"/>
        <w:rPr>
          <w:rFonts w:ascii="Arial Narrow" w:hAnsi="Arial Narrow"/>
          <w:b/>
        </w:rPr>
      </w:pPr>
    </w:p>
    <w:p w:rsidR="0047506E" w:rsidRDefault="0047506E" w:rsidP="0047506E">
      <w:pPr>
        <w:pStyle w:val="a9"/>
        <w:rPr>
          <w:rFonts w:ascii="Arial Narrow" w:hAnsi="Arial Narrow"/>
          <w:b/>
        </w:rPr>
      </w:pPr>
    </w:p>
    <w:p w:rsidR="0047506E" w:rsidRDefault="0047506E" w:rsidP="0047506E">
      <w:pPr>
        <w:pStyle w:val="a9"/>
        <w:rPr>
          <w:rFonts w:ascii="Arial Narrow" w:hAnsi="Arial Narrow"/>
          <w:b/>
        </w:rPr>
      </w:pPr>
    </w:p>
    <w:p w:rsidR="0047506E" w:rsidRDefault="0047506E" w:rsidP="0047506E">
      <w:pPr>
        <w:pStyle w:val="a9"/>
        <w:rPr>
          <w:rFonts w:ascii="Arial Narrow" w:hAnsi="Arial Narrow"/>
          <w:b/>
        </w:rPr>
      </w:pPr>
    </w:p>
    <w:p w:rsidR="0047506E" w:rsidRDefault="0047506E" w:rsidP="0047506E">
      <w:pPr>
        <w:pStyle w:val="a9"/>
        <w:rPr>
          <w:rFonts w:ascii="Arial Narrow" w:hAnsi="Arial Narrow"/>
          <w:b/>
        </w:rPr>
      </w:pPr>
    </w:p>
    <w:p w:rsidR="0047506E" w:rsidRDefault="0047506E" w:rsidP="0047506E">
      <w:pPr>
        <w:pStyle w:val="a9"/>
        <w:rPr>
          <w:rFonts w:ascii="Arial Narrow" w:hAnsi="Arial Narrow"/>
          <w:b/>
        </w:rPr>
      </w:pPr>
    </w:p>
    <w:p w:rsidR="0047506E" w:rsidRDefault="0047506E" w:rsidP="0047506E">
      <w:pPr>
        <w:pStyle w:val="a9"/>
        <w:rPr>
          <w:rFonts w:ascii="Arial Narrow" w:hAnsi="Arial Narrow"/>
          <w:b/>
        </w:rPr>
      </w:pPr>
    </w:p>
    <w:p w:rsidR="0047506E" w:rsidRPr="005B311F" w:rsidRDefault="0047506E" w:rsidP="0047506E">
      <w:pPr>
        <w:pStyle w:val="a9"/>
        <w:rPr>
          <w:rFonts w:ascii="Arial Narrow" w:hAnsi="Arial Narrow"/>
          <w:b/>
        </w:rPr>
      </w:pPr>
      <w:r w:rsidRPr="005B311F">
        <w:rPr>
          <w:rFonts w:ascii="Arial Narrow" w:hAnsi="Arial Narrow"/>
          <w:b/>
        </w:rPr>
        <w:lastRenderedPageBreak/>
        <w:t>Το υψηλότερο ποσοστό απασχόλησης των ατόμων με αναπηρία είναι στην Σουηδία, το χαμηλότερο στην Ουγγαρία</w:t>
      </w:r>
    </w:p>
    <w:p w:rsidR="0047506E" w:rsidRPr="00EB6BED" w:rsidRDefault="0047506E" w:rsidP="0047506E">
      <w:pPr>
        <w:pStyle w:val="a9"/>
        <w:rPr>
          <w:rFonts w:ascii="Arial Narrow" w:hAnsi="Arial Narrow"/>
        </w:rPr>
      </w:pPr>
    </w:p>
    <w:p w:rsidR="0047506E" w:rsidRDefault="0047506E" w:rsidP="0047506E">
      <w:pPr>
        <w:pStyle w:val="a9"/>
        <w:rPr>
          <w:rFonts w:ascii="Arial Narrow" w:hAnsi="Arial Narrow"/>
        </w:rPr>
      </w:pPr>
      <w:r>
        <w:rPr>
          <w:rFonts w:ascii="Arial Narrow" w:hAnsi="Arial Narrow"/>
        </w:rPr>
        <w:t>Σε ολόκληρη την Ευρώπη</w:t>
      </w:r>
      <w:r w:rsidRPr="00EB6BED">
        <w:rPr>
          <w:rFonts w:ascii="Arial Narrow" w:hAnsi="Arial Narrow"/>
        </w:rPr>
        <w:t>, το ποσοστό απασχόλησης των ατόμων ηλικία</w:t>
      </w:r>
      <w:r>
        <w:rPr>
          <w:rFonts w:ascii="Arial Narrow" w:hAnsi="Arial Narrow"/>
        </w:rPr>
        <w:t>ς 15-64 ετών ήταν υψηλότερο</w:t>
      </w:r>
      <w:r w:rsidRPr="00EB6BED">
        <w:rPr>
          <w:rFonts w:ascii="Arial Narrow" w:hAnsi="Arial Narrow"/>
        </w:rPr>
        <w:t xml:space="preserve"> το 2011 για τα άτομα χωρίς αναπηρία από ό, τι για τα </w:t>
      </w:r>
      <w:r>
        <w:rPr>
          <w:rFonts w:ascii="Arial Narrow" w:hAnsi="Arial Narrow"/>
        </w:rPr>
        <w:t xml:space="preserve">άτομα </w:t>
      </w:r>
      <w:r w:rsidRPr="00EB6BED">
        <w:rPr>
          <w:rFonts w:ascii="Arial Narrow" w:hAnsi="Arial Narrow"/>
        </w:rPr>
        <w:t xml:space="preserve">με αναπηρία. Το ποσοστό απασχόλησης των ατόμων με </w:t>
      </w:r>
      <w:r>
        <w:rPr>
          <w:rFonts w:ascii="Arial Narrow" w:hAnsi="Arial Narrow"/>
        </w:rPr>
        <w:t>αναπηρία</w:t>
      </w:r>
      <w:r w:rsidRPr="00EB6BED">
        <w:rPr>
          <w:rFonts w:ascii="Arial Narrow" w:hAnsi="Arial Narrow"/>
        </w:rPr>
        <w:t xml:space="preserve"> ήταν λιγότερο από το ένα τρίτο στην Ουγγαρία (23,7%), </w:t>
      </w:r>
      <w:r>
        <w:rPr>
          <w:rFonts w:ascii="Arial Narrow" w:hAnsi="Arial Narrow"/>
        </w:rPr>
        <w:t>στην Ιρλανδία 29,8%</w:t>
      </w:r>
      <w:r w:rsidRPr="00EB6BED">
        <w:rPr>
          <w:rFonts w:ascii="Arial Narrow" w:hAnsi="Arial Narrow"/>
        </w:rPr>
        <w:t xml:space="preserve">, </w:t>
      </w:r>
      <w:r>
        <w:rPr>
          <w:rFonts w:ascii="Arial Narrow" w:hAnsi="Arial Narrow"/>
        </w:rPr>
        <w:t>στη Βουλγαρία 30,7%</w:t>
      </w:r>
      <w:r w:rsidRPr="00EB6BED">
        <w:rPr>
          <w:rFonts w:ascii="Arial Narrow" w:hAnsi="Arial Narrow"/>
        </w:rPr>
        <w:t xml:space="preserve">, </w:t>
      </w:r>
      <w:r>
        <w:rPr>
          <w:rFonts w:ascii="Arial Narrow" w:hAnsi="Arial Narrow"/>
        </w:rPr>
        <w:t xml:space="preserve">στη Ρουμανία </w:t>
      </w:r>
      <w:r w:rsidRPr="00EB6BED">
        <w:rPr>
          <w:rFonts w:ascii="Arial Narrow" w:hAnsi="Arial Narrow"/>
        </w:rPr>
        <w:t>31</w:t>
      </w:r>
      <w:r>
        <w:rPr>
          <w:rFonts w:ascii="Arial Narrow" w:hAnsi="Arial Narrow"/>
        </w:rPr>
        <w:t xml:space="preserve">,8%, στη Σλοβακία 31,9% </w:t>
      </w:r>
      <w:r w:rsidRPr="00EB6BED">
        <w:rPr>
          <w:rFonts w:ascii="Arial Narrow" w:hAnsi="Arial Narrow"/>
        </w:rPr>
        <w:t xml:space="preserve">και </w:t>
      </w:r>
      <w:r>
        <w:rPr>
          <w:rFonts w:ascii="Arial Narrow" w:hAnsi="Arial Narrow"/>
        </w:rPr>
        <w:t>σ</w:t>
      </w:r>
      <w:r w:rsidRPr="00EB6BED">
        <w:rPr>
          <w:rFonts w:ascii="Arial Narrow" w:hAnsi="Arial Narrow"/>
        </w:rPr>
        <w:t>την Κρο</w:t>
      </w:r>
      <w:r>
        <w:rPr>
          <w:rFonts w:ascii="Arial Narrow" w:hAnsi="Arial Narrow"/>
        </w:rPr>
        <w:t>ατία 33,0%</w:t>
      </w:r>
      <w:r w:rsidRPr="00EB6BED">
        <w:rPr>
          <w:rFonts w:ascii="Arial Narrow" w:hAnsi="Arial Narrow"/>
        </w:rPr>
        <w:t xml:space="preserve">. Αντίθετα, τα ποσοστά απασχόλησης άνω του 60% καταγράφηκαν στη Σουηδία (66,2%), </w:t>
      </w:r>
      <w:r>
        <w:rPr>
          <w:rFonts w:ascii="Arial Narrow" w:hAnsi="Arial Narrow"/>
        </w:rPr>
        <w:t>σ</w:t>
      </w:r>
      <w:r w:rsidRPr="00EB6BED">
        <w:rPr>
          <w:rFonts w:ascii="Arial Narrow" w:hAnsi="Arial Narrow"/>
        </w:rPr>
        <w:t xml:space="preserve">το Λουξεμβούργο (62,5%), </w:t>
      </w:r>
      <w:r>
        <w:rPr>
          <w:rFonts w:ascii="Arial Narrow" w:hAnsi="Arial Narrow"/>
        </w:rPr>
        <w:t>στ</w:t>
      </w:r>
      <w:r w:rsidRPr="00EB6BED">
        <w:rPr>
          <w:rFonts w:ascii="Arial Narrow" w:hAnsi="Arial Narrow"/>
        </w:rPr>
        <w:t>η Φινλανδία (60,8%) και στην Αυστρία (60,3%). Σε επίπεδο Ευρώπη</w:t>
      </w:r>
      <w:r>
        <w:rPr>
          <w:rFonts w:ascii="Arial Narrow" w:hAnsi="Arial Narrow"/>
        </w:rPr>
        <w:t>ς</w:t>
      </w:r>
      <w:r w:rsidRPr="00EB6BED">
        <w:rPr>
          <w:rFonts w:ascii="Arial Narrow" w:hAnsi="Arial Narrow"/>
        </w:rPr>
        <w:t xml:space="preserve"> των 28, το ποσοστό απασχόλησης των ατόμων με </w:t>
      </w:r>
      <w:r>
        <w:rPr>
          <w:rFonts w:ascii="Arial Narrow" w:hAnsi="Arial Narrow"/>
        </w:rPr>
        <w:t>αναπηρία</w:t>
      </w:r>
      <w:r w:rsidRPr="00EB6BED">
        <w:rPr>
          <w:rFonts w:ascii="Arial Narrow" w:hAnsi="Arial Narrow"/>
        </w:rPr>
        <w:t xml:space="preserve"> ηλικίας 15-64 ετών ήταν 47,3% το 2011.</w:t>
      </w:r>
    </w:p>
    <w:p w:rsidR="0047506E" w:rsidRDefault="0047506E" w:rsidP="0047506E">
      <w:pPr>
        <w:pStyle w:val="a9"/>
        <w:rPr>
          <w:rFonts w:ascii="Arial Narrow" w:hAnsi="Arial Narrow"/>
        </w:rPr>
      </w:pPr>
      <w:r>
        <w:rPr>
          <w:rFonts w:ascii="Arial Narrow" w:hAnsi="Arial Narrow"/>
          <w:noProof/>
          <w:lang w:eastAsia="el-GR"/>
        </w:rPr>
        <w:drawing>
          <wp:inline distT="0" distB="0" distL="0" distR="0" wp14:anchorId="1BA189D7" wp14:editId="1F31AE56">
            <wp:extent cx="5417185" cy="6057900"/>
            <wp:effectExtent l="0" t="0" r="0" b="0"/>
            <wp:docPr id="2" name="Εικόνα 2" title="Πίνακας 2 - Ποσοστό εργασίας ατόμων με και δίχως αναπηρ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stat2.png"/>
                    <pic:cNvPicPr/>
                  </pic:nvPicPr>
                  <pic:blipFill>
                    <a:blip r:embed="rId15">
                      <a:extLst>
                        <a:ext uri="{28A0092B-C50C-407E-A947-70E740481C1C}">
                          <a14:useLocalDpi xmlns:a14="http://schemas.microsoft.com/office/drawing/2010/main" val="0"/>
                        </a:ext>
                      </a:extLst>
                    </a:blip>
                    <a:stretch>
                      <a:fillRect/>
                    </a:stretch>
                  </pic:blipFill>
                  <pic:spPr>
                    <a:xfrm>
                      <a:off x="0" y="0"/>
                      <a:ext cx="5417185" cy="6057900"/>
                    </a:xfrm>
                    <a:prstGeom prst="rect">
                      <a:avLst/>
                    </a:prstGeom>
                  </pic:spPr>
                </pic:pic>
              </a:graphicData>
            </a:graphic>
          </wp:inline>
        </w:drawing>
      </w:r>
    </w:p>
    <w:p w:rsidR="0047506E" w:rsidRDefault="0047506E" w:rsidP="0047506E">
      <w:pPr>
        <w:pStyle w:val="a9"/>
        <w:rPr>
          <w:rFonts w:ascii="Arial Narrow" w:hAnsi="Arial Narrow"/>
        </w:rPr>
      </w:pPr>
    </w:p>
    <w:p w:rsidR="0047506E" w:rsidRPr="00F97F51" w:rsidRDefault="0047506E" w:rsidP="0047506E">
      <w:pPr>
        <w:pStyle w:val="a9"/>
        <w:rPr>
          <w:rFonts w:ascii="Arial Narrow" w:hAnsi="Arial Narrow"/>
          <w:b/>
        </w:rPr>
      </w:pPr>
      <w:r w:rsidRPr="00F97F51">
        <w:rPr>
          <w:rFonts w:ascii="Arial Narrow" w:hAnsi="Arial Narrow"/>
          <w:b/>
        </w:rPr>
        <w:t>Μεγαλύτερες διαφορές στα ποσοστά απασχόλησης των ατόμων με αναπηρία και χωρίς αναπηρία στην Ουγγαρία και τις Κάτω Χώρες</w:t>
      </w:r>
    </w:p>
    <w:p w:rsidR="0047506E" w:rsidRPr="00EB6BED" w:rsidRDefault="0047506E" w:rsidP="0047506E">
      <w:pPr>
        <w:pStyle w:val="a9"/>
        <w:rPr>
          <w:rFonts w:ascii="Arial Narrow" w:hAnsi="Arial Narrow"/>
        </w:rPr>
      </w:pPr>
    </w:p>
    <w:p w:rsidR="0047506E" w:rsidRDefault="0047506E" w:rsidP="0047506E">
      <w:pPr>
        <w:pStyle w:val="a9"/>
        <w:rPr>
          <w:rFonts w:ascii="Arial Narrow" w:hAnsi="Arial Narrow"/>
        </w:rPr>
      </w:pPr>
      <w:r>
        <w:rPr>
          <w:rFonts w:ascii="Arial Narrow" w:hAnsi="Arial Narrow"/>
        </w:rPr>
        <w:t>Το 2011 στα κράτη μέλη</w:t>
      </w:r>
      <w:r w:rsidRPr="00EB6BED">
        <w:rPr>
          <w:rFonts w:ascii="Arial Narrow" w:hAnsi="Arial Narrow"/>
        </w:rPr>
        <w:t xml:space="preserve"> καταγράφηκαν οι μεγαλύτερες διαφορές μεταξύ του ποσοστού των ατόμων με αναπηρία και των ατόμων χωρίς αναπηρία ηλικίας 15-64 ετών που </w:t>
      </w:r>
      <w:r>
        <w:rPr>
          <w:rFonts w:ascii="Arial Narrow" w:hAnsi="Arial Narrow"/>
        </w:rPr>
        <w:t>είχαν</w:t>
      </w:r>
      <w:r w:rsidRPr="00EB6BED">
        <w:rPr>
          <w:rFonts w:ascii="Arial Narrow" w:hAnsi="Arial Narrow"/>
        </w:rPr>
        <w:t xml:space="preserve"> απασχόληση στην Ουγγαρία και </w:t>
      </w:r>
      <w:r>
        <w:rPr>
          <w:rFonts w:ascii="Arial Narrow" w:hAnsi="Arial Narrow"/>
        </w:rPr>
        <w:t xml:space="preserve">στις Κάτω Χώρες (-37,4 </w:t>
      </w:r>
      <w:r w:rsidRPr="00EB6BED">
        <w:rPr>
          <w:rFonts w:ascii="Arial Narrow" w:hAnsi="Arial Narrow"/>
        </w:rPr>
        <w:t xml:space="preserve">ποσοστιαίες μονάδες). Στο αντίθετο </w:t>
      </w:r>
      <w:r>
        <w:rPr>
          <w:rFonts w:ascii="Arial Narrow" w:hAnsi="Arial Narrow"/>
        </w:rPr>
        <w:t>άκρο της κλίμακας, κενά μικρότερα των</w:t>
      </w:r>
      <w:r w:rsidRPr="00EB6BED">
        <w:rPr>
          <w:rFonts w:ascii="Arial Narrow" w:hAnsi="Arial Narrow"/>
        </w:rPr>
        <w:t xml:space="preserve"> </w:t>
      </w:r>
      <w:r>
        <w:rPr>
          <w:rFonts w:ascii="Arial Narrow" w:hAnsi="Arial Narrow"/>
        </w:rPr>
        <w:t>10 ποσοστιαίων</w:t>
      </w:r>
      <w:r w:rsidRPr="00EB6BED">
        <w:rPr>
          <w:rFonts w:ascii="Arial Narrow" w:hAnsi="Arial Narrow"/>
        </w:rPr>
        <w:t xml:space="preserve"> μονάδες καταγράφηκαν στο </w:t>
      </w:r>
      <w:r>
        <w:rPr>
          <w:rFonts w:ascii="Arial Narrow" w:hAnsi="Arial Narrow"/>
        </w:rPr>
        <w:t xml:space="preserve">Λουξεμβούργο (-2,4 </w:t>
      </w:r>
      <w:r w:rsidRPr="00EB6BED">
        <w:rPr>
          <w:rFonts w:ascii="Arial Narrow" w:hAnsi="Arial Narrow"/>
        </w:rPr>
        <w:t>μονάδες), η Σουηδία (-9,5 εκατοστιαίες μονάδες) και τη Γαλλία (-9,9</w:t>
      </w:r>
      <w:r>
        <w:rPr>
          <w:rFonts w:ascii="Arial Narrow" w:hAnsi="Arial Narrow"/>
        </w:rPr>
        <w:t xml:space="preserve"> ποσοστιαίες μονάδες). Στην Ευρώπη των 28</w:t>
      </w:r>
      <w:r w:rsidRPr="00EB6BED">
        <w:rPr>
          <w:rFonts w:ascii="Arial Narrow" w:hAnsi="Arial Narrow"/>
        </w:rPr>
        <w:t>, η διαφορά μεταξύ του ποσοστού απασχόλησ</w:t>
      </w:r>
      <w:r>
        <w:rPr>
          <w:rFonts w:ascii="Arial Narrow" w:hAnsi="Arial Narrow"/>
        </w:rPr>
        <w:t xml:space="preserve">ης των ατόμων με αναπηρία (47,3%) και των ατόμων δίχως </w:t>
      </w:r>
      <w:r w:rsidRPr="00EB6BED">
        <w:rPr>
          <w:rFonts w:ascii="Arial Narrow" w:hAnsi="Arial Narrow"/>
        </w:rPr>
        <w:t>αναπηρία (66,9%) ήταν -19,6 μονάδες το 2011.</w:t>
      </w:r>
    </w:p>
    <w:p w:rsidR="0047506E" w:rsidRDefault="0047506E" w:rsidP="0047506E">
      <w:pPr>
        <w:pStyle w:val="a9"/>
        <w:rPr>
          <w:rFonts w:ascii="Arial Narrow" w:hAnsi="Arial Narrow"/>
        </w:rPr>
      </w:pPr>
    </w:p>
    <w:p w:rsidR="0047506E" w:rsidRDefault="0047506E" w:rsidP="0047506E">
      <w:pPr>
        <w:pStyle w:val="a9"/>
        <w:rPr>
          <w:rFonts w:ascii="Arial Narrow" w:hAnsi="Arial Narrow"/>
        </w:rPr>
      </w:pPr>
      <w:r>
        <w:rPr>
          <w:rFonts w:ascii="Arial Narrow" w:hAnsi="Arial Narrow"/>
          <w:noProof/>
          <w:lang w:eastAsia="el-GR"/>
        </w:rPr>
        <w:drawing>
          <wp:inline distT="0" distB="0" distL="0" distR="0" wp14:anchorId="4FF9D9AE" wp14:editId="3F20CA25">
            <wp:extent cx="5991225" cy="4648200"/>
            <wp:effectExtent l="0" t="0" r="9525" b="0"/>
            <wp:docPr id="5" name="Εικόνα 5" title="Πίνακας 3 - Διαφορές στο ποσοστό απασχόλησης για άτομα με και δίχως αναπηρ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3.png"/>
                    <pic:cNvPicPr/>
                  </pic:nvPicPr>
                  <pic:blipFill>
                    <a:blip r:embed="rId16">
                      <a:extLst>
                        <a:ext uri="{28A0092B-C50C-407E-A947-70E740481C1C}">
                          <a14:useLocalDpi xmlns:a14="http://schemas.microsoft.com/office/drawing/2010/main" val="0"/>
                        </a:ext>
                      </a:extLst>
                    </a:blip>
                    <a:stretch>
                      <a:fillRect/>
                    </a:stretch>
                  </pic:blipFill>
                  <pic:spPr>
                    <a:xfrm>
                      <a:off x="0" y="0"/>
                      <a:ext cx="5991225" cy="4648200"/>
                    </a:xfrm>
                    <a:prstGeom prst="rect">
                      <a:avLst/>
                    </a:prstGeom>
                  </pic:spPr>
                </pic:pic>
              </a:graphicData>
            </a:graphic>
          </wp:inline>
        </w:drawing>
      </w:r>
    </w:p>
    <w:p w:rsidR="0047506E" w:rsidRDefault="0047506E" w:rsidP="0047506E">
      <w:pPr>
        <w:pStyle w:val="a9"/>
        <w:rPr>
          <w:rFonts w:ascii="Arial Narrow" w:hAnsi="Arial Narrow"/>
        </w:rPr>
      </w:pPr>
    </w:p>
    <w:p w:rsidR="0047506E" w:rsidRDefault="0047506E" w:rsidP="0047506E">
      <w:pPr>
        <w:pStyle w:val="a9"/>
        <w:rPr>
          <w:rFonts w:ascii="Arial Narrow" w:hAnsi="Arial Narrow"/>
        </w:rPr>
      </w:pPr>
    </w:p>
    <w:p w:rsidR="0047506E" w:rsidRDefault="0047506E" w:rsidP="0047506E">
      <w:pPr>
        <w:pStyle w:val="a9"/>
        <w:rPr>
          <w:rFonts w:ascii="Arial Narrow" w:hAnsi="Arial Narrow"/>
        </w:rPr>
      </w:pPr>
    </w:p>
    <w:p w:rsidR="0047506E" w:rsidRDefault="0047506E" w:rsidP="0047506E">
      <w:pPr>
        <w:pStyle w:val="a9"/>
        <w:rPr>
          <w:rFonts w:ascii="Arial Narrow" w:hAnsi="Arial Narrow"/>
        </w:rPr>
      </w:pPr>
    </w:p>
    <w:p w:rsidR="0047506E" w:rsidRDefault="0047506E" w:rsidP="0047506E">
      <w:pPr>
        <w:pStyle w:val="a9"/>
        <w:rPr>
          <w:rFonts w:ascii="Arial Narrow" w:hAnsi="Arial Narrow"/>
        </w:rPr>
      </w:pPr>
    </w:p>
    <w:p w:rsidR="0047506E" w:rsidRDefault="0047506E" w:rsidP="0047506E">
      <w:pPr>
        <w:pStyle w:val="a9"/>
        <w:rPr>
          <w:rFonts w:ascii="Arial Narrow" w:hAnsi="Arial Narrow"/>
          <w:b/>
        </w:rPr>
      </w:pPr>
    </w:p>
    <w:p w:rsidR="0047506E" w:rsidRDefault="0047506E" w:rsidP="0047506E">
      <w:pPr>
        <w:pStyle w:val="a9"/>
        <w:rPr>
          <w:rFonts w:ascii="Arial Narrow" w:hAnsi="Arial Narrow"/>
          <w:b/>
        </w:rPr>
      </w:pPr>
    </w:p>
    <w:p w:rsidR="0047506E" w:rsidRDefault="0047506E" w:rsidP="0047506E">
      <w:pPr>
        <w:pStyle w:val="a9"/>
        <w:rPr>
          <w:rFonts w:ascii="Arial Narrow" w:hAnsi="Arial Narrow"/>
          <w:b/>
        </w:rPr>
      </w:pPr>
      <w:r w:rsidRPr="00F97F51">
        <w:rPr>
          <w:rFonts w:ascii="Arial Narrow" w:hAnsi="Arial Narrow"/>
          <w:b/>
        </w:rPr>
        <w:lastRenderedPageBreak/>
        <w:t>Ίση πρόσβαση στη διά βίου μάθηση για άτομα με αναπηρία και -άτομα δίχως αναπηρία στη Σουηδία και τη Γαλλία</w:t>
      </w:r>
    </w:p>
    <w:p w:rsidR="0047506E" w:rsidRPr="00F97F51" w:rsidRDefault="0047506E" w:rsidP="0047506E">
      <w:pPr>
        <w:pStyle w:val="a9"/>
        <w:rPr>
          <w:rFonts w:ascii="Arial Narrow" w:hAnsi="Arial Narrow"/>
          <w:b/>
        </w:rPr>
      </w:pPr>
    </w:p>
    <w:p w:rsidR="0047506E" w:rsidRDefault="0047506E" w:rsidP="0047506E">
      <w:pPr>
        <w:pStyle w:val="a9"/>
        <w:rPr>
          <w:rFonts w:ascii="Arial Narrow" w:hAnsi="Arial Narrow"/>
        </w:rPr>
      </w:pPr>
      <w:r w:rsidRPr="00F97F51">
        <w:rPr>
          <w:rFonts w:ascii="Arial Narrow" w:hAnsi="Arial Narrow"/>
        </w:rPr>
        <w:t>Τάσεις παρόμοιες με εκείνες που παρατηρούνται στην αγορά εργασίας μπορεί να διαφανούν στην πρόσβαση σ</w:t>
      </w:r>
      <w:r>
        <w:rPr>
          <w:rFonts w:ascii="Arial Narrow" w:hAnsi="Arial Narrow"/>
        </w:rPr>
        <w:t xml:space="preserve">την εκπαίδευση. Σε καθένα από τα 28 κράτη μέλη της ΕΕ </w:t>
      </w:r>
      <w:r w:rsidRPr="00F97F51">
        <w:rPr>
          <w:rFonts w:ascii="Arial Narrow" w:hAnsi="Arial Narrow"/>
        </w:rPr>
        <w:t>για τα οποία υπάρχουν διαθέσιμα στοιχεία, το ποσοστό συμμετοχής στη δια βίου μάθηση ήταν χαμηλότερο το 2011 για τα άτο</w:t>
      </w:r>
      <w:r>
        <w:rPr>
          <w:rFonts w:ascii="Arial Narrow" w:hAnsi="Arial Narrow"/>
        </w:rPr>
        <w:t>μα με αναπηρία από ό, τι για τα άτομα δίχως</w:t>
      </w:r>
      <w:r w:rsidRPr="00F97F51">
        <w:rPr>
          <w:rFonts w:ascii="Arial Narrow" w:hAnsi="Arial Narrow"/>
        </w:rPr>
        <w:t xml:space="preserve"> αναπηρία, ηλικίας από 25 έως 64. Ωστόσο, σημαντικές διαφορές μπορούν να σημειωθούν σε όλα τα κράτη μέλη.</w:t>
      </w:r>
    </w:p>
    <w:p w:rsidR="0047506E" w:rsidRDefault="0047506E" w:rsidP="0047506E">
      <w:pPr>
        <w:pStyle w:val="a9"/>
        <w:rPr>
          <w:rFonts w:ascii="Arial Narrow" w:hAnsi="Arial Narrow"/>
        </w:rPr>
      </w:pPr>
      <w:r w:rsidRPr="00F97F51">
        <w:rPr>
          <w:rFonts w:ascii="Arial Narrow" w:hAnsi="Arial Narrow"/>
        </w:rPr>
        <w:t>Το 2011, τα ποσοστά σ</w:t>
      </w:r>
      <w:r>
        <w:rPr>
          <w:rFonts w:ascii="Arial Narrow" w:hAnsi="Arial Narrow"/>
        </w:rPr>
        <w:t>υμμετοχής στη δια βίου μάθηση ήταν σχεδόν τα ίδια για τα άτομα με και δίχως αναπηρία στη Σουηδία (26,2% για άτομα</w:t>
      </w:r>
      <w:r w:rsidRPr="00F97F51">
        <w:rPr>
          <w:rFonts w:ascii="Arial Narrow" w:hAnsi="Arial Narrow"/>
        </w:rPr>
        <w:t xml:space="preserve"> με αναπηρία σε σύγκριση με το 27,3% των ατόμων </w:t>
      </w:r>
      <w:r>
        <w:rPr>
          <w:rFonts w:ascii="Arial Narrow" w:hAnsi="Arial Narrow"/>
        </w:rPr>
        <w:t xml:space="preserve">δίχως </w:t>
      </w:r>
      <w:r w:rsidRPr="00F97F51">
        <w:rPr>
          <w:rFonts w:ascii="Arial Narrow" w:hAnsi="Arial Narrow"/>
        </w:rPr>
        <w:t xml:space="preserve">αναπηρία, ή -1.1 ποσοστιαίες μονάδες), </w:t>
      </w:r>
      <w:r>
        <w:rPr>
          <w:rFonts w:ascii="Arial Narrow" w:hAnsi="Arial Narrow"/>
        </w:rPr>
        <w:t>σ</w:t>
      </w:r>
      <w:r w:rsidRPr="00F97F51">
        <w:rPr>
          <w:rFonts w:ascii="Arial Narrow" w:hAnsi="Arial Narrow"/>
        </w:rPr>
        <w:t xml:space="preserve">τη Γαλλία (-1,3 μονάδες), </w:t>
      </w:r>
      <w:r>
        <w:rPr>
          <w:rFonts w:ascii="Arial Narrow" w:hAnsi="Arial Narrow"/>
        </w:rPr>
        <w:t xml:space="preserve">στην </w:t>
      </w:r>
      <w:r w:rsidRPr="00F97F51">
        <w:rPr>
          <w:rFonts w:ascii="Arial Narrow" w:hAnsi="Arial Narrow"/>
        </w:rPr>
        <w:t xml:space="preserve">Ιταλία (-1,7 μονάδες), την Ιρλανδία και </w:t>
      </w:r>
      <w:r>
        <w:rPr>
          <w:rFonts w:ascii="Arial Narrow" w:hAnsi="Arial Narrow"/>
        </w:rPr>
        <w:t xml:space="preserve">στην Ελλάδα (και οι δύο </w:t>
      </w:r>
      <w:r w:rsidRPr="00F97F51">
        <w:rPr>
          <w:rFonts w:ascii="Arial Narrow" w:hAnsi="Arial Narrow"/>
        </w:rPr>
        <w:t xml:space="preserve">-1.8), ενώ </w:t>
      </w:r>
      <w:r>
        <w:rPr>
          <w:rFonts w:ascii="Arial Narrow" w:hAnsi="Arial Narrow"/>
        </w:rPr>
        <w:t>στ</w:t>
      </w:r>
      <w:r w:rsidRPr="00F97F51">
        <w:rPr>
          <w:rFonts w:ascii="Arial Narrow" w:hAnsi="Arial Narrow"/>
        </w:rPr>
        <w:t xml:space="preserve">η Σλοβενία (9,6% για ατόμων με αναπηρία σε σύγκριση με το 19,3% των ατόμων χωρίς αναπηρία, ή -9.7 ποσοστιαίες μονάδες), </w:t>
      </w:r>
      <w:r>
        <w:rPr>
          <w:rFonts w:ascii="Arial Narrow" w:hAnsi="Arial Narrow"/>
        </w:rPr>
        <w:t>σ</w:t>
      </w:r>
      <w:r w:rsidRPr="00F97F51">
        <w:rPr>
          <w:rFonts w:ascii="Arial Narrow" w:hAnsi="Arial Narrow"/>
        </w:rPr>
        <w:t>τη Δανί</w:t>
      </w:r>
      <w:r>
        <w:rPr>
          <w:rFonts w:ascii="Arial Narrow" w:hAnsi="Arial Narrow"/>
        </w:rPr>
        <w:t xml:space="preserve">α (-8.7 ποσοστιαίες μονάδες), στην Τσεχία </w:t>
      </w:r>
      <w:r w:rsidRPr="00F97F51">
        <w:rPr>
          <w:rFonts w:ascii="Arial Narrow" w:hAnsi="Arial Narrow"/>
        </w:rPr>
        <w:t xml:space="preserve">(-7,8 εκατοστιαίες μονάδες), </w:t>
      </w:r>
      <w:r>
        <w:rPr>
          <w:rFonts w:ascii="Arial Narrow" w:hAnsi="Arial Narrow"/>
        </w:rPr>
        <w:t>στ</w:t>
      </w:r>
      <w:r w:rsidRPr="00F97F51">
        <w:rPr>
          <w:rFonts w:ascii="Arial Narrow" w:hAnsi="Arial Narrow"/>
        </w:rPr>
        <w:t xml:space="preserve">η Φινλανδία (-7,4 εκατοστιαίες μονάδες) και στην Ολλανδία (-7,2 εκατοστιαίες μονάδες) </w:t>
      </w:r>
      <w:r>
        <w:rPr>
          <w:rFonts w:ascii="Arial Narrow" w:hAnsi="Arial Narrow"/>
        </w:rPr>
        <w:t xml:space="preserve">υπήρχαν οι </w:t>
      </w:r>
      <w:r w:rsidRPr="00F97F51">
        <w:rPr>
          <w:rFonts w:ascii="Arial Narrow" w:hAnsi="Arial Narrow"/>
        </w:rPr>
        <w:t>μεγαλύτερες διαφορές.</w:t>
      </w:r>
    </w:p>
    <w:p w:rsidR="0047506E" w:rsidRDefault="0047506E" w:rsidP="0047506E">
      <w:pPr>
        <w:pStyle w:val="a9"/>
        <w:rPr>
          <w:rFonts w:ascii="Arial Narrow" w:hAnsi="Arial Narrow"/>
        </w:rPr>
      </w:pPr>
    </w:p>
    <w:p w:rsidR="0047506E" w:rsidRDefault="0047506E" w:rsidP="0047506E">
      <w:pPr>
        <w:pStyle w:val="a9"/>
        <w:rPr>
          <w:rFonts w:ascii="Arial Narrow" w:hAnsi="Arial Narrow"/>
        </w:rPr>
      </w:pPr>
      <w:r>
        <w:rPr>
          <w:rFonts w:ascii="Arial Narrow" w:hAnsi="Arial Narrow"/>
          <w:noProof/>
          <w:lang w:eastAsia="el-GR"/>
        </w:rPr>
        <w:lastRenderedPageBreak/>
        <w:drawing>
          <wp:inline distT="0" distB="0" distL="0" distR="0" wp14:anchorId="67F7B06D" wp14:editId="24382E46">
            <wp:extent cx="5274310" cy="6248400"/>
            <wp:effectExtent l="0" t="0" r="2540" b="0"/>
            <wp:docPr id="6" name="Εικόνα 6" title="Πίνακας 3 - Ίση πρόσβαση στη διά βίου μάθηση για άτομα με αναπηρία και -άτομα δίχως αναπηρ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uro4.png"/>
                    <pic:cNvPicPr/>
                  </pic:nvPicPr>
                  <pic:blipFill>
                    <a:blip r:embed="rId17">
                      <a:extLst>
                        <a:ext uri="{28A0092B-C50C-407E-A947-70E740481C1C}">
                          <a14:useLocalDpi xmlns:a14="http://schemas.microsoft.com/office/drawing/2010/main" val="0"/>
                        </a:ext>
                      </a:extLst>
                    </a:blip>
                    <a:stretch>
                      <a:fillRect/>
                    </a:stretch>
                  </pic:blipFill>
                  <pic:spPr>
                    <a:xfrm>
                      <a:off x="0" y="0"/>
                      <a:ext cx="5274310" cy="6248400"/>
                    </a:xfrm>
                    <a:prstGeom prst="rect">
                      <a:avLst/>
                    </a:prstGeom>
                  </pic:spPr>
                </pic:pic>
              </a:graphicData>
            </a:graphic>
          </wp:inline>
        </w:drawing>
      </w:r>
    </w:p>
    <w:p w:rsidR="0047506E" w:rsidRDefault="0047506E" w:rsidP="0047506E">
      <w:pPr>
        <w:pStyle w:val="a9"/>
        <w:rPr>
          <w:rFonts w:ascii="Arial Narrow" w:hAnsi="Arial Narrow"/>
        </w:rPr>
      </w:pPr>
    </w:p>
    <w:p w:rsidR="0047506E" w:rsidRDefault="0047506E" w:rsidP="0047506E">
      <w:pPr>
        <w:pStyle w:val="a9"/>
        <w:rPr>
          <w:rFonts w:ascii="Arial Narrow" w:hAnsi="Arial Narrow"/>
          <w:b/>
          <w:bCs/>
        </w:rPr>
      </w:pPr>
    </w:p>
    <w:p w:rsidR="0047506E" w:rsidRDefault="0047506E" w:rsidP="0047506E">
      <w:pPr>
        <w:pStyle w:val="a9"/>
        <w:rPr>
          <w:rFonts w:ascii="Arial Narrow" w:hAnsi="Arial Narrow"/>
          <w:b/>
          <w:bCs/>
        </w:rPr>
      </w:pPr>
    </w:p>
    <w:p w:rsidR="0047506E" w:rsidRDefault="0047506E" w:rsidP="0047506E">
      <w:pPr>
        <w:pStyle w:val="a9"/>
        <w:rPr>
          <w:rFonts w:ascii="Arial Narrow" w:hAnsi="Arial Narrow"/>
          <w:b/>
          <w:bCs/>
        </w:rPr>
      </w:pPr>
    </w:p>
    <w:p w:rsidR="0047506E" w:rsidRDefault="0047506E" w:rsidP="0047506E">
      <w:pPr>
        <w:pStyle w:val="a9"/>
        <w:rPr>
          <w:rFonts w:ascii="Arial Narrow" w:hAnsi="Arial Narrow"/>
          <w:b/>
          <w:bCs/>
        </w:rPr>
      </w:pPr>
    </w:p>
    <w:p w:rsidR="0047506E" w:rsidRDefault="0047506E" w:rsidP="0047506E">
      <w:pPr>
        <w:pStyle w:val="a9"/>
        <w:rPr>
          <w:rFonts w:ascii="Arial Narrow" w:hAnsi="Arial Narrow"/>
          <w:b/>
          <w:bCs/>
        </w:rPr>
      </w:pPr>
    </w:p>
    <w:p w:rsidR="0047506E" w:rsidRDefault="0047506E" w:rsidP="0047506E">
      <w:pPr>
        <w:pStyle w:val="a9"/>
        <w:rPr>
          <w:rFonts w:ascii="Arial Narrow" w:hAnsi="Arial Narrow"/>
          <w:b/>
          <w:bCs/>
        </w:rPr>
      </w:pPr>
    </w:p>
    <w:p w:rsidR="0047506E" w:rsidRPr="005B311F" w:rsidRDefault="0047506E" w:rsidP="0047506E">
      <w:pPr>
        <w:pStyle w:val="a9"/>
        <w:rPr>
          <w:rFonts w:ascii="Arial Narrow" w:hAnsi="Arial Narrow"/>
          <w:b/>
          <w:bCs/>
        </w:rPr>
      </w:pPr>
      <w:r w:rsidRPr="005B311F">
        <w:rPr>
          <w:rFonts w:ascii="Arial Narrow" w:hAnsi="Arial Narrow"/>
          <w:b/>
          <w:bCs/>
        </w:rPr>
        <w:lastRenderedPageBreak/>
        <w:t>Σε Βουλγαρία και Βέλγιο οι μεγαλύτερες διαφορές στα ποσοστά μεταξύ ατόμων με και χωρίς αναπηρία μπροστά στον κίνδυνο φτώχειας ή κοινωνικού αποκλεισμού, στην Ελλάδα και την Ισπανία οι μικρότερες</w:t>
      </w:r>
    </w:p>
    <w:p w:rsidR="0047506E" w:rsidRDefault="0047506E" w:rsidP="0047506E">
      <w:pPr>
        <w:pStyle w:val="a9"/>
        <w:rPr>
          <w:rFonts w:ascii="Arial Narrow" w:hAnsi="Arial Narrow"/>
          <w:bCs/>
        </w:rPr>
      </w:pPr>
    </w:p>
    <w:p w:rsidR="0047506E" w:rsidRDefault="0047506E" w:rsidP="0047506E">
      <w:pPr>
        <w:pStyle w:val="a9"/>
        <w:rPr>
          <w:rFonts w:ascii="Arial Narrow" w:hAnsi="Arial Narrow"/>
          <w:bCs/>
        </w:rPr>
      </w:pPr>
      <w:r w:rsidRPr="00226444">
        <w:rPr>
          <w:rFonts w:ascii="Arial Narrow" w:hAnsi="Arial Narrow"/>
          <w:bCs/>
        </w:rPr>
        <w:t xml:space="preserve">Το ποσοστό των ατόμων με αναπηρία ηλικίας 16 ετών και άνω που  κινδυνεύουν από τη φτώχεια ή τον κοινωνικό αποκλεισμό είναι υψηλότερο από ό, τι </w:t>
      </w:r>
      <w:r>
        <w:rPr>
          <w:rFonts w:ascii="Arial Narrow" w:hAnsi="Arial Narrow"/>
          <w:bCs/>
        </w:rPr>
        <w:t xml:space="preserve">σε </w:t>
      </w:r>
      <w:r w:rsidRPr="00226444">
        <w:rPr>
          <w:rFonts w:ascii="Arial Narrow" w:hAnsi="Arial Narrow"/>
          <w:bCs/>
        </w:rPr>
        <w:t xml:space="preserve">μη ανάπηρα άτομα, σε όλα τα κράτη μέλη </w:t>
      </w:r>
      <w:r>
        <w:rPr>
          <w:rFonts w:ascii="Arial Narrow" w:hAnsi="Arial Narrow"/>
          <w:bCs/>
        </w:rPr>
        <w:t xml:space="preserve">της </w:t>
      </w:r>
      <w:r w:rsidRPr="00226444">
        <w:rPr>
          <w:rFonts w:ascii="Arial Narrow" w:hAnsi="Arial Narrow"/>
          <w:bCs/>
        </w:rPr>
        <w:t>Ευρώπη</w:t>
      </w:r>
      <w:r>
        <w:rPr>
          <w:rFonts w:ascii="Arial Narrow" w:hAnsi="Arial Narrow"/>
          <w:bCs/>
        </w:rPr>
        <w:t>ς των 28. Το 2013,</w:t>
      </w:r>
      <w:r w:rsidRPr="00226444">
        <w:rPr>
          <w:rFonts w:ascii="Arial Narrow" w:hAnsi="Arial Narrow"/>
          <w:bCs/>
        </w:rPr>
        <w:t xml:space="preserve"> οι μεγαλύτερες διαφορές μεταξύ του </w:t>
      </w:r>
      <w:r>
        <w:rPr>
          <w:rFonts w:ascii="Arial Narrow" w:hAnsi="Arial Narrow"/>
          <w:bCs/>
        </w:rPr>
        <w:t>ποσοστού</w:t>
      </w:r>
      <w:r w:rsidRPr="00226444">
        <w:rPr>
          <w:rFonts w:ascii="Arial Narrow" w:hAnsi="Arial Narrow"/>
          <w:bCs/>
        </w:rPr>
        <w:t xml:space="preserve"> των ατόμων με αναπηρία και χωρίς αναπηρία ηλικίας 16 ετών και άνω σε κίνδυνο φτώχειας ή κοινωνικού αποκλεισμού παρατηρήθ</w:t>
      </w:r>
      <w:r>
        <w:rPr>
          <w:rFonts w:ascii="Arial Narrow" w:hAnsi="Arial Narrow"/>
          <w:bCs/>
        </w:rPr>
        <w:t xml:space="preserve">ηκαν στη Βουλγαρία (63,7% ατόμων </w:t>
      </w:r>
      <w:r w:rsidRPr="00226444">
        <w:rPr>
          <w:rFonts w:ascii="Arial Narrow" w:hAnsi="Arial Narrow"/>
          <w:bCs/>
        </w:rPr>
        <w:t xml:space="preserve">με αναπηρία σε σύγκριση με το 44,1% των ατόμων </w:t>
      </w:r>
      <w:r>
        <w:rPr>
          <w:rFonts w:ascii="Arial Narrow" w:hAnsi="Arial Narrow"/>
          <w:bCs/>
        </w:rPr>
        <w:t xml:space="preserve">δίχως </w:t>
      </w:r>
      <w:r w:rsidRPr="00226444">
        <w:rPr>
          <w:rFonts w:ascii="Arial Narrow" w:hAnsi="Arial Narrow"/>
          <w:bCs/>
        </w:rPr>
        <w:t>αναπηρία άνθρωποι, ή 19,6 ποσοστιαίες μονάδες), ακολουθούμενη από το Βέλγιο (17,7 ποσοστιαίες μονάδες), στη Λιθουανία (16,3 ποσοστιαίες μονάδες), την Εσθονία (15,9 ποσοστιαίες μονάδες) και το Ηνωμένο Βασίλειο (15,0 ποσοστιαίες μονάδες). Αντίθετα, οι μικρότερες διαφορές καταγράφηκαν στην Ελλάδα (36,8% άτομα με αναπηρία σε σύγκριση με 34,5% για τα άτομα χωρίς αναπηρία, ή 2,3 ποσοστιαίες μονάδες), την Ισπανία (+3,7 εκατοστιαίες μονάδες), το Λουξεμβούργο (4,3 εκατοστιαίες μονάδες) και την Ιταλία (4,4 ποσοστιαίες μονάδες).</w:t>
      </w:r>
      <w:r>
        <w:rPr>
          <w:rFonts w:ascii="Arial Narrow" w:hAnsi="Arial Narrow"/>
          <w:bCs/>
        </w:rPr>
        <w:t xml:space="preserve"> Σε επίπεδο Ευρώπης των 28, </w:t>
      </w:r>
      <w:r w:rsidRPr="00226444">
        <w:rPr>
          <w:rFonts w:ascii="Arial Narrow" w:hAnsi="Arial Narrow"/>
          <w:bCs/>
        </w:rPr>
        <w:t xml:space="preserve">η διαφορά μεταξύ </w:t>
      </w:r>
      <w:r>
        <w:rPr>
          <w:rFonts w:ascii="Arial Narrow" w:hAnsi="Arial Narrow"/>
          <w:bCs/>
        </w:rPr>
        <w:t xml:space="preserve">ποσοστού ατόμων </w:t>
      </w:r>
      <w:r w:rsidRPr="00226444">
        <w:rPr>
          <w:rFonts w:ascii="Arial Narrow" w:hAnsi="Arial Narrow"/>
          <w:bCs/>
        </w:rPr>
        <w:t xml:space="preserve">με αναπηρία (29,9%) και </w:t>
      </w:r>
      <w:r>
        <w:rPr>
          <w:rFonts w:ascii="Arial Narrow" w:hAnsi="Arial Narrow"/>
          <w:bCs/>
        </w:rPr>
        <w:t xml:space="preserve">ατόμων δίχως </w:t>
      </w:r>
      <w:r w:rsidRPr="00226444">
        <w:rPr>
          <w:rFonts w:ascii="Arial Narrow" w:hAnsi="Arial Narrow"/>
          <w:bCs/>
        </w:rPr>
        <w:t>αναπηρία (21,4%), 8,5 εκατοστιαίες μονάδες το 2013.</w:t>
      </w:r>
      <w:r>
        <w:rPr>
          <w:rFonts w:ascii="Arial Narrow" w:hAnsi="Arial Narrow"/>
          <w:bCs/>
        </w:rPr>
        <w:t xml:space="preserve"> </w:t>
      </w:r>
    </w:p>
    <w:p w:rsidR="0047506E" w:rsidRPr="00F97F51" w:rsidRDefault="0047506E" w:rsidP="0047506E">
      <w:pPr>
        <w:pStyle w:val="a9"/>
        <w:rPr>
          <w:rFonts w:ascii="Arial Narrow" w:hAnsi="Arial Narrow"/>
          <w:bCs/>
        </w:rPr>
      </w:pPr>
      <w:r>
        <w:rPr>
          <w:rFonts w:ascii="Arial Narrow" w:hAnsi="Arial Narrow"/>
          <w:bCs/>
          <w:noProof/>
          <w:lang w:eastAsia="el-GR"/>
        </w:rPr>
        <w:lastRenderedPageBreak/>
        <w:drawing>
          <wp:inline distT="0" distB="0" distL="0" distR="0" wp14:anchorId="1A5403C1" wp14:editId="2420D22A">
            <wp:extent cx="5274310" cy="6143625"/>
            <wp:effectExtent l="0" t="0" r="2540" b="9525"/>
            <wp:docPr id="7" name="Εικόνα 7" title="Πίνακας 4 Σε Βουλγαρία και Βέλγιο οι μεγαλύτερες διαφορές στα ποσοστά μεταξύ ατόμων με και χωρίς αναπηρία μπροστά στον κίνδυνο φτώχειας ή κοινωνικού αποκλεισμού, στην Ελλάδα και την Ισπανία οι μικρότερ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uro5.png"/>
                    <pic:cNvPicPr/>
                  </pic:nvPicPr>
                  <pic:blipFill>
                    <a:blip r:embed="rId18">
                      <a:extLst>
                        <a:ext uri="{28A0092B-C50C-407E-A947-70E740481C1C}">
                          <a14:useLocalDpi xmlns:a14="http://schemas.microsoft.com/office/drawing/2010/main" val="0"/>
                        </a:ext>
                      </a:extLst>
                    </a:blip>
                    <a:stretch>
                      <a:fillRect/>
                    </a:stretch>
                  </pic:blipFill>
                  <pic:spPr>
                    <a:xfrm>
                      <a:off x="0" y="0"/>
                      <a:ext cx="5274310" cy="6143625"/>
                    </a:xfrm>
                    <a:prstGeom prst="rect">
                      <a:avLst/>
                    </a:prstGeom>
                  </pic:spPr>
                </pic:pic>
              </a:graphicData>
            </a:graphic>
          </wp:inline>
        </w:drawing>
      </w:r>
    </w:p>
    <w:p w:rsidR="0047506E" w:rsidRPr="0047506E" w:rsidRDefault="0047506E" w:rsidP="002F6741">
      <w:pPr>
        <w:pStyle w:val="a9"/>
        <w:rPr>
          <w:rFonts w:ascii="Arial Narrow" w:hAnsi="Arial Narrow"/>
        </w:rPr>
      </w:pPr>
    </w:p>
    <w:p w:rsidR="009764AA" w:rsidRDefault="0047506E" w:rsidP="00DC4F51">
      <w:pPr>
        <w:pStyle w:val="a9"/>
        <w:rPr>
          <w:rFonts w:ascii="Arial Narrow" w:hAnsi="Arial Narrow"/>
        </w:rPr>
      </w:pPr>
      <w:r>
        <w:rPr>
          <w:rFonts w:ascii="Arial Narrow" w:hAnsi="Arial Narrow"/>
        </w:rPr>
        <w:t xml:space="preserve">Η έκθεση της </w:t>
      </w:r>
      <w:r>
        <w:rPr>
          <w:rFonts w:ascii="Arial Narrow" w:hAnsi="Arial Narrow"/>
          <w:lang w:val="en-US"/>
        </w:rPr>
        <w:t>Eurostat</w:t>
      </w:r>
      <w:r w:rsidRPr="0047506E">
        <w:rPr>
          <w:rFonts w:ascii="Arial Narrow" w:hAnsi="Arial Narrow"/>
        </w:rPr>
        <w:t xml:space="preserve"> </w:t>
      </w:r>
      <w:r>
        <w:rPr>
          <w:rFonts w:ascii="Arial Narrow" w:hAnsi="Arial Narrow"/>
        </w:rPr>
        <w:t>στην επίσημη ιστοσελίδα της</w:t>
      </w:r>
    </w:p>
    <w:p w:rsidR="0047506E" w:rsidRDefault="0047506E" w:rsidP="00DC4F51">
      <w:pPr>
        <w:pStyle w:val="a9"/>
        <w:rPr>
          <w:rFonts w:ascii="Arial Narrow" w:hAnsi="Arial Narrow"/>
        </w:rPr>
      </w:pPr>
      <w:hyperlink r:id="rId19" w:history="1">
        <w:r w:rsidRPr="00B63333">
          <w:rPr>
            <w:rStyle w:val="-"/>
            <w:rFonts w:ascii="Arial Narrow" w:hAnsi="Arial Narrow"/>
          </w:rPr>
          <w:t>http://epp.eurostat.ec.europa.eu/cache/ITY_PUBLIC/3-02122014-BP/EN/3-02122014-BP-EN.PDF</w:t>
        </w:r>
      </w:hyperlink>
      <w:r>
        <w:rPr>
          <w:rFonts w:ascii="Arial Narrow" w:hAnsi="Arial Narrow"/>
        </w:rPr>
        <w:t xml:space="preserve"> </w:t>
      </w:r>
    </w:p>
    <w:p w:rsidR="0047506E" w:rsidRPr="0047506E" w:rsidRDefault="0047506E" w:rsidP="00DC4F5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20"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2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47506E">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AF7" w:rsidRDefault="00026AF7" w:rsidP="00A5663B">
      <w:pPr>
        <w:spacing w:after="0" w:line="240" w:lineRule="auto"/>
      </w:pPr>
      <w:r>
        <w:separator/>
      </w:r>
    </w:p>
  </w:endnote>
  <w:endnote w:type="continuationSeparator" w:id="0">
    <w:p w:rsidR="00026AF7" w:rsidRDefault="00026AF7"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AF7" w:rsidRDefault="00026AF7" w:rsidP="00A5663B">
      <w:pPr>
        <w:spacing w:after="0" w:line="240" w:lineRule="auto"/>
      </w:pPr>
      <w:r>
        <w:separator/>
      </w:r>
    </w:p>
  </w:footnote>
  <w:footnote w:type="continuationSeparator" w:id="0">
    <w:p w:rsidR="00026AF7" w:rsidRDefault="00026AF7"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6AF7"/>
    <w:rsid w:val="000C602B"/>
    <w:rsid w:val="001019FA"/>
    <w:rsid w:val="00160957"/>
    <w:rsid w:val="001A3655"/>
    <w:rsid w:val="001B3428"/>
    <w:rsid w:val="002152A7"/>
    <w:rsid w:val="002944DE"/>
    <w:rsid w:val="002D004E"/>
    <w:rsid w:val="002D1046"/>
    <w:rsid w:val="002F6741"/>
    <w:rsid w:val="00331C4B"/>
    <w:rsid w:val="0039752B"/>
    <w:rsid w:val="004177D2"/>
    <w:rsid w:val="00445F09"/>
    <w:rsid w:val="0047506E"/>
    <w:rsid w:val="00497FC5"/>
    <w:rsid w:val="00521486"/>
    <w:rsid w:val="00651CD5"/>
    <w:rsid w:val="007305A6"/>
    <w:rsid w:val="0077016C"/>
    <w:rsid w:val="00811A9B"/>
    <w:rsid w:val="00886B82"/>
    <w:rsid w:val="008F4A49"/>
    <w:rsid w:val="00941D80"/>
    <w:rsid w:val="009764AA"/>
    <w:rsid w:val="009B3183"/>
    <w:rsid w:val="00A45752"/>
    <w:rsid w:val="00A5663B"/>
    <w:rsid w:val="00B01AB1"/>
    <w:rsid w:val="00B747D7"/>
    <w:rsid w:val="00B754EF"/>
    <w:rsid w:val="00C50D8C"/>
    <w:rsid w:val="00DC4F51"/>
    <w:rsid w:val="00E02E65"/>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www.esamea.gr/"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esa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epp.eurostat.ec.europa.eu/cache/ITY_PUBLIC/3-02122014-BP/EN/3-02122014-BP-EN.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E0BFD0B-85C8-4523-829F-0D0AAB46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1082</Words>
  <Characters>5846</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2014-12-05T10:39:00Z</cp:lastPrinted>
  <dcterms:created xsi:type="dcterms:W3CDTF">2014-12-05T10:38:00Z</dcterms:created>
  <dcterms:modified xsi:type="dcterms:W3CDTF">2014-12-05T10:57:00Z</dcterms:modified>
</cp:coreProperties>
</file>