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D7" w:rsidRDefault="00A00160" w:rsidP="00F86E84">
      <w:pPr>
        <w:pStyle w:val="1"/>
        <w:spacing w:before="0"/>
      </w:pPr>
      <w:bookmarkStart w:id="0" w:name="_Toc493259294"/>
      <w:r>
        <w:t>E</w:t>
      </w:r>
      <w:r w:rsidR="00FF4C5F">
        <w:t xml:space="preserve">uropean </w:t>
      </w:r>
      <w:r>
        <w:t>D</w:t>
      </w:r>
      <w:r w:rsidR="00FF4C5F">
        <w:t xml:space="preserve">isability </w:t>
      </w:r>
      <w:r>
        <w:t>F</w:t>
      </w:r>
      <w:r w:rsidR="00FF4C5F">
        <w:t>orum</w:t>
      </w:r>
      <w:r>
        <w:t xml:space="preserve"> Resolution on the European Pillar of Social Rights </w:t>
      </w:r>
      <w:bookmarkEnd w:id="0"/>
    </w:p>
    <w:p w:rsidR="00073D27" w:rsidRDefault="00DC21AE" w:rsidP="00F86E84">
      <w:pPr>
        <w:rPr>
          <w:rFonts w:ascii="Arial" w:hAnsi="Arial" w:cs="Arial"/>
          <w:b/>
          <w:sz w:val="24"/>
          <w:szCs w:val="24"/>
          <w:lang w:val="en-GB"/>
        </w:rPr>
      </w:pPr>
      <w:r w:rsidRPr="00DC21AE">
        <w:rPr>
          <w:rFonts w:ascii="Arial" w:hAnsi="Arial" w:cs="Arial"/>
          <w:b/>
          <w:sz w:val="24"/>
          <w:szCs w:val="24"/>
          <w:lang w:val="en-GB"/>
        </w:rPr>
        <w:t>October 2017</w:t>
      </w:r>
    </w:p>
    <w:p w:rsidR="00D8723E" w:rsidRPr="00547E56" w:rsidRDefault="00D8723E" w:rsidP="00F86E84">
      <w:pPr>
        <w:rPr>
          <w:rStyle w:val="-"/>
          <w:rFonts w:ascii="Arial" w:hAnsi="Arial" w:cs="Arial"/>
          <w:sz w:val="32"/>
          <w:szCs w:val="32"/>
          <w:lang w:val="en-US"/>
        </w:rPr>
      </w:pPr>
      <w:r w:rsidRPr="00F31706">
        <w:rPr>
          <w:rFonts w:ascii="Arial" w:hAnsi="Arial" w:cs="Arial"/>
          <w:sz w:val="32"/>
          <w:szCs w:val="32"/>
          <w:lang w:val="en-US"/>
        </w:rPr>
        <w:t xml:space="preserve">The </w:t>
      </w:r>
      <w:hyperlink r:id="rId7" w:history="1">
        <w:r w:rsidRPr="00F31706">
          <w:rPr>
            <w:rStyle w:val="-"/>
            <w:rFonts w:ascii="Arial" w:hAnsi="Arial" w:cs="Arial"/>
            <w:sz w:val="32"/>
            <w:szCs w:val="32"/>
            <w:lang w:val="en-US"/>
          </w:rPr>
          <w:t>European Disability Forum</w:t>
        </w:r>
      </w:hyperlink>
    </w:p>
    <w:p w:rsidR="00CF66D7" w:rsidRPr="004001A5" w:rsidRDefault="00A00160" w:rsidP="00F86E84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Welcoming the European Pillar of Social Rights (Social Pillar) and the related policy and legislative initiatives as a positive step to reaffirm social rights in the EU;</w:t>
      </w:r>
    </w:p>
    <w:p w:rsidR="00CF66D7" w:rsidRPr="004001A5" w:rsidRDefault="00A00160" w:rsidP="00F86E84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Acknowledging the Social Pillar’s focus on equal opportunities and access to labor market, fair working conditions, and social protection and inclusion;</w:t>
      </w:r>
    </w:p>
    <w:p w:rsidR="00CF66D7" w:rsidRPr="004001A5" w:rsidRDefault="00A00160" w:rsidP="00F86E84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Welcoming the principles of inclusion of persons with disabilities, children and long-term care </w:t>
      </w:r>
      <w:r w:rsidR="001A1CCD">
        <w:rPr>
          <w:rFonts w:ascii="Arial" w:hAnsi="Arial" w:cs="Arial"/>
          <w:sz w:val="24"/>
          <w:szCs w:val="24"/>
          <w:lang w:val="en-US"/>
        </w:rPr>
        <w:t>patients in order</w:t>
      </w:r>
      <w:r w:rsidR="0054443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 fight against social exclusion and to promote the right to independent living;</w:t>
      </w:r>
    </w:p>
    <w:p w:rsidR="00CF66D7" w:rsidRPr="00547E56" w:rsidRDefault="00A00160" w:rsidP="00F86E84">
      <w:pPr>
        <w:rPr>
          <w:rFonts w:ascii="Arial" w:hAnsi="Arial"/>
          <w:sz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Stressing the importance of the proposal for a directive on “Work-Life Balance for Parents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Carers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” which recognizes both the perspective of </w:t>
      </w:r>
      <w:proofErr w:type="spellStart"/>
      <w:r w:rsidR="00547E56">
        <w:rPr>
          <w:rFonts w:ascii="Arial" w:hAnsi="Arial" w:cs="Arial"/>
          <w:sz w:val="24"/>
          <w:szCs w:val="24"/>
          <w:lang w:val="en-US"/>
        </w:rPr>
        <w:t>carers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of persons with disabilities and of parents with disabilities;</w:t>
      </w:r>
    </w:p>
    <w:p w:rsidR="00CF66D7" w:rsidRDefault="00A00160" w:rsidP="00F86E8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Looking forward to the initiative on access to social protection for people in self-employment and non-standard employment to include the perspective of persons with disabilities;</w:t>
      </w:r>
    </w:p>
    <w:p w:rsidR="00CF66D7" w:rsidRDefault="00A00160" w:rsidP="00F86E8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Regretting that the Social Pillar is conceived</w:t>
      </w:r>
      <w:r w:rsidR="001A1CCD">
        <w:rPr>
          <w:rFonts w:ascii="Arial" w:hAnsi="Arial" w:cs="Arial"/>
          <w:sz w:val="24"/>
          <w:szCs w:val="24"/>
          <w:lang w:val="en-US"/>
        </w:rPr>
        <w:t xml:space="preserve"> only</w:t>
      </w:r>
      <w:r>
        <w:rPr>
          <w:rFonts w:ascii="Arial" w:hAnsi="Arial" w:cs="Arial"/>
          <w:sz w:val="24"/>
          <w:szCs w:val="24"/>
          <w:lang w:val="en-US"/>
        </w:rPr>
        <w:t xml:space="preserve"> for countries of the euro zone; </w:t>
      </w:r>
    </w:p>
    <w:p w:rsidR="00CF66D7" w:rsidRPr="004001A5" w:rsidRDefault="00A00160" w:rsidP="00F86E84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Recalling the EU’s obligations as</w:t>
      </w:r>
      <w:r w:rsidR="00544438">
        <w:rPr>
          <w:rFonts w:ascii="Arial" w:hAnsi="Arial" w:cs="Arial"/>
          <w:sz w:val="24"/>
          <w:szCs w:val="24"/>
          <w:lang w:val="en-US"/>
        </w:rPr>
        <w:t xml:space="preserve"> </w:t>
      </w:r>
      <w:r w:rsidR="001A1CCD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045EC">
        <w:rPr>
          <w:rFonts w:ascii="Arial" w:hAnsi="Arial" w:cs="Arial"/>
          <w:sz w:val="24"/>
          <w:szCs w:val="24"/>
          <w:lang w:val="en-US"/>
        </w:rPr>
        <w:t xml:space="preserve">State </w:t>
      </w:r>
      <w:r>
        <w:rPr>
          <w:rFonts w:ascii="Arial" w:hAnsi="Arial" w:cs="Arial"/>
          <w:sz w:val="24"/>
          <w:szCs w:val="24"/>
          <w:lang w:val="en-US"/>
        </w:rPr>
        <w:t xml:space="preserve">Party to the UN Convention on the Rights of Persons with Disabilities (CRPD) and the </w:t>
      </w:r>
      <w:hyperlink r:id="rId8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>Recommendations</w:t>
        </w:r>
      </w:hyperlink>
      <w:r>
        <w:rPr>
          <w:rStyle w:val="aa"/>
          <w:rFonts w:ascii="Arial" w:hAnsi="Arial" w:cs="Arial"/>
          <w:sz w:val="24"/>
          <w:szCs w:val="24"/>
          <w:lang w:val="en-US"/>
        </w:rPr>
        <w:footnoteReference w:id="2"/>
      </w:r>
      <w:r>
        <w:rPr>
          <w:rFonts w:ascii="Arial" w:hAnsi="Arial" w:cs="Arial"/>
          <w:sz w:val="24"/>
          <w:szCs w:val="24"/>
          <w:lang w:val="en-US"/>
        </w:rPr>
        <w:t xml:space="preserve"> received by the UN  Commit</w:t>
      </w:r>
      <w:bookmarkStart w:id="1" w:name="_GoBack"/>
      <w:bookmarkEnd w:id="1"/>
      <w:r>
        <w:rPr>
          <w:rFonts w:ascii="Arial" w:hAnsi="Arial" w:cs="Arial"/>
          <w:sz w:val="24"/>
          <w:szCs w:val="24"/>
          <w:lang w:val="en-US"/>
        </w:rPr>
        <w:t xml:space="preserve">tee </w:t>
      </w:r>
      <w:r w:rsidR="001A1CCD">
        <w:rPr>
          <w:rFonts w:ascii="Arial" w:hAnsi="Arial" w:cs="Arial"/>
          <w:sz w:val="24"/>
          <w:szCs w:val="24"/>
          <w:lang w:val="en-US"/>
        </w:rPr>
        <w:t xml:space="preserve">on the Rights </w:t>
      </w:r>
      <w:r>
        <w:rPr>
          <w:rFonts w:ascii="Arial" w:hAnsi="Arial" w:cs="Arial"/>
          <w:sz w:val="24"/>
          <w:szCs w:val="24"/>
          <w:lang w:val="en-US"/>
        </w:rPr>
        <w:t xml:space="preserve">of </w:t>
      </w:r>
      <w:r w:rsidR="001A1CCD">
        <w:rPr>
          <w:rFonts w:ascii="Arial" w:hAnsi="Arial" w:cs="Arial"/>
          <w:sz w:val="24"/>
          <w:szCs w:val="24"/>
          <w:lang w:val="en-US"/>
        </w:rPr>
        <w:t>Persons with Disabilities</w:t>
      </w:r>
      <w:r w:rsidR="008045EC">
        <w:rPr>
          <w:rFonts w:ascii="Arial" w:hAnsi="Arial" w:cs="Arial"/>
          <w:sz w:val="24"/>
          <w:szCs w:val="24"/>
          <w:lang w:val="en-US"/>
        </w:rPr>
        <w:t xml:space="preserve"> in 2015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CF66D7" w:rsidRPr="004001A5" w:rsidRDefault="00A00160" w:rsidP="00F86E84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Highlighting the need to define social security and social protection for persons with disabilities based on the human rights approach to disab</w:t>
      </w:r>
      <w:r w:rsidR="00547E56">
        <w:rPr>
          <w:rFonts w:ascii="Arial" w:hAnsi="Arial" w:cs="Arial"/>
          <w:sz w:val="24"/>
          <w:szCs w:val="24"/>
          <w:lang w:val="en-US"/>
        </w:rPr>
        <w:t>ility in the light of the CRPD;</w:t>
      </w:r>
    </w:p>
    <w:p w:rsidR="00CF66D7" w:rsidRPr="004001A5" w:rsidRDefault="00A00160" w:rsidP="00F86E84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Considering the numerous challenges to social inclusion and access to employment faced in the EU due to migration crisis, security crisis, demographic changes;</w:t>
      </w:r>
    </w:p>
    <w:p w:rsidR="00CF66D7" w:rsidRPr="004001A5" w:rsidRDefault="00A00160" w:rsidP="00F86E84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Considering that per the </w:t>
      </w:r>
      <w:r w:rsidR="00767E74">
        <w:rPr>
          <w:rFonts w:ascii="Arial" w:hAnsi="Arial" w:cs="Arial"/>
          <w:sz w:val="24"/>
          <w:szCs w:val="24"/>
          <w:lang w:val="en-US"/>
        </w:rPr>
        <w:t>EPSCO</w:t>
      </w:r>
      <w:r w:rsidR="00544438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 xml:space="preserve"> Joint Employment Report 2017</w:t>
        </w:r>
      </w:hyperlink>
      <w:r>
        <w:rPr>
          <w:rStyle w:val="aa"/>
          <w:rFonts w:ascii="Arial" w:hAnsi="Arial" w:cs="Arial"/>
          <w:sz w:val="24"/>
          <w:szCs w:val="24"/>
          <w:lang w:val="en-US"/>
        </w:rPr>
        <w:footnoteReference w:id="3"/>
      </w:r>
      <w:r>
        <w:rPr>
          <w:rFonts w:ascii="Arial" w:hAnsi="Arial" w:cs="Arial"/>
          <w:sz w:val="24"/>
          <w:szCs w:val="24"/>
          <w:lang w:val="en-US"/>
        </w:rPr>
        <w:t xml:space="preserve"> following current demographic trends the number of persons with disabilities will increase from 80 million to 120 million by 2020</w:t>
      </w:r>
      <w:r w:rsidR="0000225F">
        <w:rPr>
          <w:rFonts w:ascii="Arial" w:hAnsi="Arial" w:cs="Arial"/>
          <w:sz w:val="24"/>
          <w:szCs w:val="24"/>
          <w:lang w:val="en-US"/>
        </w:rPr>
        <w:t xml:space="preserve"> in the EU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D8723E" w:rsidRPr="00F30D0E" w:rsidRDefault="00A00160" w:rsidP="00F86E8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Recalling the high activity and employment gaps for people with disabilities in the EU according </w:t>
      </w:r>
      <w:r w:rsidR="00D8723E">
        <w:rPr>
          <w:rFonts w:ascii="Arial" w:hAnsi="Arial" w:cs="Arial"/>
          <w:sz w:val="24"/>
          <w:szCs w:val="24"/>
          <w:lang w:val="en-US"/>
        </w:rPr>
        <w:t xml:space="preserve">to </w:t>
      </w:r>
      <w:r>
        <w:rPr>
          <w:rFonts w:ascii="Arial" w:hAnsi="Arial" w:cs="Arial"/>
          <w:sz w:val="24"/>
          <w:szCs w:val="24"/>
          <w:lang w:val="en-US"/>
        </w:rPr>
        <w:t xml:space="preserve">EU-SILC 2014. </w:t>
      </w:r>
    </w:p>
    <w:p w:rsidR="00547E56" w:rsidRDefault="00A00160" w:rsidP="00F86E84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2014, </w:t>
      </w:r>
      <w:r w:rsidR="00D8723E" w:rsidRPr="00F30D0E">
        <w:rPr>
          <w:rFonts w:ascii="Arial" w:hAnsi="Arial" w:cs="Arial"/>
          <w:sz w:val="24"/>
          <w:szCs w:val="24"/>
          <w:lang w:val="en-US"/>
        </w:rPr>
        <w:t xml:space="preserve">in the age group 20-64 </w:t>
      </w:r>
      <w:r>
        <w:rPr>
          <w:rFonts w:ascii="Arial" w:hAnsi="Arial" w:cs="Arial"/>
          <w:sz w:val="24"/>
          <w:szCs w:val="24"/>
          <w:lang w:val="en-US"/>
        </w:rPr>
        <w:t xml:space="preserve">the activity gap between people with and without disabilities in the EU amounted to 21.1 percentage points (60.6% versus 81.7%), and the employment gap to 23.8 </w:t>
      </w:r>
      <w:r w:rsidR="00D8723E" w:rsidRPr="00F30D0E">
        <w:rPr>
          <w:rFonts w:ascii="Arial" w:hAnsi="Arial" w:cs="Arial"/>
          <w:sz w:val="24"/>
          <w:szCs w:val="24"/>
          <w:lang w:val="en-US"/>
        </w:rPr>
        <w:t>percentage points</w:t>
      </w:r>
      <w:r>
        <w:rPr>
          <w:rFonts w:ascii="Arial" w:hAnsi="Arial" w:cs="Arial"/>
          <w:sz w:val="24"/>
          <w:szCs w:val="24"/>
          <w:lang w:val="en-US"/>
        </w:rPr>
        <w:t xml:space="preserve"> (48.7% versus 72.5%). In</w:t>
      </w:r>
      <w:r w:rsidR="00D8723E" w:rsidRPr="00F30D0E">
        <w:rPr>
          <w:rFonts w:ascii="Arial" w:hAnsi="Arial" w:cs="Arial"/>
          <w:sz w:val="24"/>
          <w:szCs w:val="24"/>
          <w:lang w:val="en-US"/>
        </w:rPr>
        <w:t xml:space="preserve"> particular, in</w:t>
      </w:r>
      <w:r>
        <w:rPr>
          <w:rFonts w:ascii="Arial" w:hAnsi="Arial" w:cs="Arial"/>
          <w:sz w:val="24"/>
          <w:szCs w:val="24"/>
          <w:lang w:val="en-US"/>
        </w:rPr>
        <w:t xml:space="preserve"> Lithuania, Ireland and Malta the employment gap was close to 40 </w:t>
      </w:r>
      <w:r w:rsidR="00D8723E" w:rsidRPr="00F30D0E">
        <w:rPr>
          <w:rFonts w:ascii="Arial" w:hAnsi="Arial" w:cs="Arial"/>
          <w:sz w:val="24"/>
          <w:szCs w:val="24"/>
          <w:lang w:val="en-US"/>
        </w:rPr>
        <w:t>percentage points</w:t>
      </w:r>
      <w:r>
        <w:rPr>
          <w:rFonts w:ascii="Arial" w:hAnsi="Arial" w:cs="Arial"/>
          <w:sz w:val="24"/>
          <w:szCs w:val="24"/>
          <w:lang w:val="en-US"/>
        </w:rPr>
        <w:t xml:space="preserve"> and in 12 countries higher than 30 </w:t>
      </w:r>
      <w:r w:rsidR="00D8723E" w:rsidRPr="00F30D0E">
        <w:rPr>
          <w:rFonts w:ascii="Arial" w:hAnsi="Arial" w:cs="Arial"/>
          <w:sz w:val="24"/>
          <w:szCs w:val="24"/>
          <w:lang w:val="en-US"/>
        </w:rPr>
        <w:t>percentage points</w:t>
      </w:r>
      <w:r>
        <w:rPr>
          <w:rFonts w:ascii="Arial" w:hAnsi="Arial" w:cs="Arial"/>
          <w:sz w:val="24"/>
          <w:szCs w:val="24"/>
          <w:lang w:val="en-US"/>
        </w:rPr>
        <w:t xml:space="preserve">. The employment rate of persons with disabilities based on the EU-SILC 2014 data is below 30% in Greece, Ireland, Malta and Croatia. Persons with disabilities usually exit 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market earlier, having a very low employment rate at the age </w:t>
      </w:r>
      <w:r w:rsidR="00D8723E" w:rsidRPr="00F30D0E">
        <w:rPr>
          <w:rFonts w:ascii="Arial" w:hAnsi="Arial" w:cs="Arial"/>
          <w:sz w:val="24"/>
          <w:szCs w:val="24"/>
          <w:lang w:val="en-US"/>
        </w:rPr>
        <w:t xml:space="preserve">of </w:t>
      </w:r>
      <w:r>
        <w:rPr>
          <w:rFonts w:ascii="Arial" w:hAnsi="Arial" w:cs="Arial"/>
          <w:sz w:val="24"/>
          <w:szCs w:val="24"/>
          <w:lang w:val="en-US"/>
        </w:rPr>
        <w:t xml:space="preserve">55-64 </w:t>
      </w:r>
      <w:r w:rsidR="00D8723E" w:rsidRPr="00F30D0E">
        <w:rPr>
          <w:rFonts w:ascii="Arial" w:hAnsi="Arial" w:cs="Arial"/>
          <w:sz w:val="24"/>
          <w:szCs w:val="24"/>
          <w:lang w:val="en-US"/>
        </w:rPr>
        <w:t>years,</w:t>
      </w:r>
      <w:r>
        <w:rPr>
          <w:rFonts w:ascii="Arial" w:hAnsi="Arial" w:cs="Arial"/>
          <w:sz w:val="24"/>
          <w:szCs w:val="24"/>
          <w:lang w:val="en-US"/>
        </w:rPr>
        <w:t xml:space="preserve"> 34.5</w:t>
      </w:r>
      <w:r w:rsidR="00547E56">
        <w:rPr>
          <w:rFonts w:ascii="Arial" w:hAnsi="Arial" w:cs="Arial"/>
          <w:sz w:val="24"/>
          <w:szCs w:val="24"/>
          <w:lang w:val="en-US"/>
        </w:rPr>
        <w:t>%</w:t>
      </w:r>
      <w:r w:rsidR="00544438">
        <w:rPr>
          <w:rFonts w:ascii="Arial" w:hAnsi="Arial" w:cs="Arial"/>
          <w:sz w:val="24"/>
          <w:szCs w:val="24"/>
          <w:lang w:val="en-US"/>
        </w:rPr>
        <w:t>.</w:t>
      </w:r>
      <w:r w:rsidR="00544438">
        <w:rPr>
          <w:rStyle w:val="aa"/>
          <w:rFonts w:ascii="Arial" w:hAnsi="Arial" w:cs="Arial"/>
          <w:sz w:val="24"/>
          <w:szCs w:val="24"/>
          <w:lang w:val="en-US"/>
        </w:rPr>
        <w:footnoteReference w:id="4"/>
      </w:r>
      <w:r w:rsidR="00547E56" w:rsidRPr="00547E56"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 xml:space="preserve"> </w:t>
      </w:r>
    </w:p>
    <w:p w:rsidR="00547E56" w:rsidRPr="00547E56" w:rsidRDefault="00547E56" w:rsidP="00F86E84">
      <w:pPr>
        <w:rPr>
          <w:rFonts w:ascii="Arial" w:hAnsi="Arial" w:cs="Arial"/>
          <w:sz w:val="24"/>
          <w:szCs w:val="24"/>
          <w:lang w:val="en-US"/>
        </w:rPr>
      </w:pPr>
      <w:r w:rsidRPr="00547E56">
        <w:rPr>
          <w:rFonts w:ascii="Arial" w:hAnsi="Arial" w:cs="Arial"/>
          <w:sz w:val="24"/>
          <w:szCs w:val="24"/>
          <w:lang w:val="en-US"/>
        </w:rPr>
        <w:t>Considering the in 2013, about 30 % of the population aged 16 or more in the</w:t>
      </w:r>
      <w:r w:rsidR="005C5DF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Pr="00547E56">
          <w:rPr>
            <w:sz w:val="24"/>
            <w:szCs w:val="24"/>
            <w:lang w:val="en-US"/>
          </w:rPr>
          <w:t>EU-28</w:t>
        </w:r>
      </w:hyperlink>
      <w:r w:rsidR="005C5DF4">
        <w:rPr>
          <w:rFonts w:ascii="Arial" w:hAnsi="Arial" w:cs="Arial"/>
          <w:sz w:val="24"/>
          <w:szCs w:val="24"/>
          <w:lang w:val="en-US"/>
        </w:rPr>
        <w:t xml:space="preserve"> </w:t>
      </w:r>
      <w:r w:rsidRPr="00547E56">
        <w:rPr>
          <w:rFonts w:ascii="Arial" w:hAnsi="Arial" w:cs="Arial"/>
          <w:sz w:val="24"/>
          <w:szCs w:val="24"/>
          <w:lang w:val="en-US"/>
        </w:rPr>
        <w:t>and having an activity limitation was at risk of poverty or social exclusion, compared with 22% of those with no limitation. Similar results were obtained for the</w:t>
      </w:r>
      <w:r w:rsidR="005C5DF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1" w:history="1">
        <w:r w:rsidRPr="00547E56">
          <w:rPr>
            <w:sz w:val="24"/>
            <w:szCs w:val="24"/>
            <w:lang w:val="en-US"/>
          </w:rPr>
          <w:t>at-risk-of-poverty rate</w:t>
        </w:r>
      </w:hyperlink>
      <w:r w:rsidR="005C5DF4">
        <w:rPr>
          <w:rFonts w:ascii="Arial" w:hAnsi="Arial" w:cs="Arial"/>
          <w:sz w:val="24"/>
          <w:szCs w:val="24"/>
          <w:lang w:val="en-US"/>
        </w:rPr>
        <w:t xml:space="preserve"> </w:t>
      </w:r>
      <w:r w:rsidRPr="00547E56">
        <w:rPr>
          <w:rFonts w:ascii="Arial" w:hAnsi="Arial" w:cs="Arial"/>
          <w:sz w:val="24"/>
          <w:szCs w:val="24"/>
          <w:lang w:val="en-US"/>
        </w:rPr>
        <w:t>(19 % vs. 15 %),</w:t>
      </w:r>
      <w:r w:rsidR="005C5DF4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2" w:history="1">
        <w:r w:rsidRPr="00547E56">
          <w:rPr>
            <w:sz w:val="24"/>
            <w:szCs w:val="24"/>
            <w:lang w:val="en-US"/>
          </w:rPr>
          <w:t>severe material deprivation rate</w:t>
        </w:r>
      </w:hyperlink>
      <w:r w:rsidRPr="00547E56">
        <w:rPr>
          <w:rFonts w:ascii="Arial" w:hAnsi="Arial" w:cs="Arial"/>
          <w:sz w:val="24"/>
          <w:szCs w:val="24"/>
          <w:lang w:val="en-US"/>
        </w:rPr>
        <w:t xml:space="preserve">(13% vs. 8%) and the share of individuals aged less than 60 and living in households with very low work intensity (24% vs. 8%). The latter result reflects a more difficult access to the </w:t>
      </w:r>
      <w:proofErr w:type="spellStart"/>
      <w:r w:rsidRPr="00547E56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Pr="00547E56">
        <w:rPr>
          <w:rFonts w:ascii="Arial" w:hAnsi="Arial" w:cs="Arial"/>
          <w:sz w:val="24"/>
          <w:szCs w:val="24"/>
          <w:lang w:val="en-US"/>
        </w:rPr>
        <w:t xml:space="preserve"> market for people with activity limitation.</w:t>
      </w:r>
      <w:r>
        <w:rPr>
          <w:rStyle w:val="aa"/>
          <w:rFonts w:ascii="Arial" w:hAnsi="Arial" w:cs="Arial"/>
          <w:sz w:val="24"/>
          <w:szCs w:val="24"/>
          <w:lang w:val="en-US"/>
        </w:rPr>
        <w:footnoteReference w:id="5"/>
      </w:r>
    </w:p>
    <w:p w:rsidR="00547E56" w:rsidRDefault="00A00160" w:rsidP="00F86E8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Highlighting the need to include the European Pillar of Social Rights in the broader debate on the </w:t>
      </w:r>
      <w:hyperlink r:id="rId13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 xml:space="preserve">social dimension of </w:t>
        </w:r>
        <w:r w:rsidR="00D8723E">
          <w:rPr>
            <w:rStyle w:val="-"/>
            <w:rFonts w:ascii="Arial" w:hAnsi="Arial" w:cs="Arial"/>
            <w:sz w:val="24"/>
            <w:szCs w:val="24"/>
            <w:lang w:val="en-US"/>
          </w:rPr>
          <w:t>the</w:t>
        </w:r>
      </w:hyperlink>
      <w:r w:rsidR="00D8723E">
        <w:rPr>
          <w:rStyle w:val="-"/>
          <w:rFonts w:ascii="Arial" w:hAnsi="Arial" w:cs="Arial"/>
          <w:sz w:val="24"/>
          <w:szCs w:val="24"/>
          <w:lang w:val="en-US"/>
        </w:rPr>
        <w:t xml:space="preserve"> EU</w:t>
      </w:r>
      <w:r>
        <w:rPr>
          <w:rStyle w:val="aa"/>
          <w:rFonts w:ascii="Arial" w:hAnsi="Arial" w:cs="Arial"/>
          <w:sz w:val="24"/>
          <w:szCs w:val="24"/>
          <w:lang w:val="en-US"/>
        </w:rPr>
        <w:footnoteReference w:id="6"/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hyperlink r:id="rId14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>on the future of EU finances</w:t>
        </w:r>
      </w:hyperlink>
      <w:r>
        <w:rPr>
          <w:rStyle w:val="aa"/>
          <w:rFonts w:ascii="Arial" w:hAnsi="Arial" w:cs="Arial"/>
          <w:sz w:val="24"/>
          <w:szCs w:val="24"/>
          <w:lang w:val="en-US"/>
        </w:rPr>
        <w:footnoteReference w:id="7"/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CF66D7" w:rsidRPr="00547E56" w:rsidRDefault="00547E56" w:rsidP="00F86E8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="00A00160">
        <w:rPr>
          <w:rFonts w:ascii="Arial" w:hAnsi="Arial" w:cs="Arial"/>
          <w:sz w:val="24"/>
          <w:szCs w:val="24"/>
          <w:lang w:val="en-US"/>
        </w:rPr>
        <w:t xml:space="preserve">ecalling the </w:t>
      </w:r>
      <w:hyperlink r:id="rId15" w:history="1">
        <w:r w:rsidR="00A00160">
          <w:rPr>
            <w:rStyle w:val="-"/>
            <w:rFonts w:ascii="Arial" w:hAnsi="Arial" w:cs="Arial"/>
            <w:sz w:val="24"/>
            <w:szCs w:val="24"/>
            <w:lang w:val="en-US"/>
          </w:rPr>
          <w:t>respo</w:t>
        </w:r>
        <w:r w:rsidR="00A00160">
          <w:rPr>
            <w:rStyle w:val="-"/>
            <w:rFonts w:ascii="Arial" w:hAnsi="Arial" w:cs="Arial"/>
            <w:sz w:val="24"/>
            <w:szCs w:val="24"/>
            <w:lang w:val="en-US"/>
          </w:rPr>
          <w:t>n</w:t>
        </w:r>
        <w:r w:rsidR="00A00160">
          <w:rPr>
            <w:rStyle w:val="-"/>
            <w:rFonts w:ascii="Arial" w:hAnsi="Arial" w:cs="Arial"/>
            <w:sz w:val="24"/>
            <w:szCs w:val="24"/>
            <w:lang w:val="en-US"/>
          </w:rPr>
          <w:t>se</w:t>
        </w:r>
        <w:r w:rsidR="00A00160">
          <w:rPr>
            <w:rStyle w:val="aa"/>
            <w:rFonts w:ascii="Arial" w:hAnsi="Arial" w:cs="Arial"/>
            <w:color w:val="0000FF"/>
            <w:sz w:val="24"/>
            <w:szCs w:val="24"/>
            <w:u w:val="single"/>
            <w:lang w:val="en-US"/>
          </w:rPr>
          <w:footnoteReference w:id="8"/>
        </w:r>
      </w:hyperlink>
      <w:r w:rsidR="00A00160">
        <w:rPr>
          <w:rFonts w:ascii="Arial" w:hAnsi="Arial" w:cs="Arial"/>
          <w:sz w:val="24"/>
          <w:szCs w:val="24"/>
          <w:lang w:val="en-US"/>
        </w:rPr>
        <w:t xml:space="preserve"> </w:t>
      </w:r>
      <w:r w:rsidR="00D8723E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544438">
        <w:rPr>
          <w:rFonts w:ascii="Arial" w:hAnsi="Arial" w:cs="Arial"/>
          <w:sz w:val="24"/>
          <w:szCs w:val="24"/>
          <w:lang w:val="en-US"/>
        </w:rPr>
        <w:t xml:space="preserve">European Expert Group on transition from institutions to community based care </w:t>
      </w:r>
      <w:r w:rsidR="00A00160">
        <w:rPr>
          <w:rFonts w:ascii="Arial" w:hAnsi="Arial" w:cs="Arial"/>
          <w:sz w:val="24"/>
          <w:szCs w:val="24"/>
          <w:lang w:val="en-US"/>
        </w:rPr>
        <w:t xml:space="preserve">to </w:t>
      </w:r>
      <w:r>
        <w:rPr>
          <w:rFonts w:ascii="Arial" w:hAnsi="Arial" w:cs="Arial"/>
          <w:sz w:val="24"/>
          <w:szCs w:val="24"/>
          <w:lang w:val="en-US"/>
        </w:rPr>
        <w:t xml:space="preserve">debate on the future of EU Finances asking </w:t>
      </w:r>
      <w:r w:rsidRPr="00547E56">
        <w:rPr>
          <w:rFonts w:ascii="Arial" w:hAnsi="Arial" w:cs="Arial"/>
          <w:sz w:val="24"/>
          <w:szCs w:val="24"/>
          <w:lang w:val="en-US"/>
        </w:rPr>
        <w:t>for investment in innovative, person-centered family- and community-based suppo</w:t>
      </w:r>
      <w:r>
        <w:rPr>
          <w:rFonts w:ascii="Arial" w:hAnsi="Arial" w:cs="Arial"/>
          <w:sz w:val="24"/>
          <w:szCs w:val="24"/>
          <w:lang w:val="en-US"/>
        </w:rPr>
        <w:t>rt, health and housing services</w:t>
      </w:r>
      <w:r w:rsidR="00A00160">
        <w:rPr>
          <w:rFonts w:ascii="Arial" w:hAnsi="Arial" w:cs="Arial"/>
          <w:sz w:val="24"/>
          <w:szCs w:val="24"/>
          <w:lang w:val="en-US"/>
        </w:rPr>
        <w:t xml:space="preserve">; </w:t>
      </w:r>
    </w:p>
    <w:p w:rsidR="00CF66D7" w:rsidRPr="004001A5" w:rsidRDefault="00A00160" w:rsidP="00F86E84">
      <w:pPr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Acknowledging the relevance of the European Pillar of Social Rights in the global effort </w:t>
      </w:r>
      <w:r w:rsidR="00D8723E">
        <w:rPr>
          <w:rFonts w:ascii="Arial" w:hAnsi="Arial" w:cs="Arial"/>
          <w:sz w:val="24"/>
          <w:szCs w:val="24"/>
          <w:lang w:val="en-US"/>
        </w:rPr>
        <w:t>to fulfil</w:t>
      </w:r>
      <w:r>
        <w:rPr>
          <w:rFonts w:ascii="Arial" w:hAnsi="Arial" w:cs="Arial"/>
          <w:sz w:val="24"/>
          <w:szCs w:val="24"/>
          <w:lang w:val="en-US"/>
        </w:rPr>
        <w:t xml:space="preserve"> the </w:t>
      </w:r>
      <w:hyperlink r:id="rId16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>EU commitments</w:t>
        </w:r>
      </w:hyperlink>
      <w:r>
        <w:rPr>
          <w:rStyle w:val="aa"/>
          <w:rFonts w:ascii="Arial" w:hAnsi="Arial" w:cs="Arial"/>
          <w:sz w:val="24"/>
          <w:szCs w:val="24"/>
          <w:lang w:val="en-US"/>
        </w:rPr>
        <w:footnoteReference w:id="9"/>
      </w:r>
      <w:r>
        <w:rPr>
          <w:rFonts w:ascii="Arial" w:hAnsi="Arial" w:cs="Arial"/>
          <w:sz w:val="24"/>
          <w:szCs w:val="24"/>
          <w:lang w:val="en-US"/>
        </w:rPr>
        <w:t xml:space="preserve"> to be a frontrunner in implementing the </w:t>
      </w:r>
      <w:hyperlink r:id="rId17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>Sustainable Development Goals</w:t>
        </w:r>
      </w:hyperlink>
      <w:r>
        <w:rPr>
          <w:rStyle w:val="aa"/>
          <w:rFonts w:ascii="Arial" w:hAnsi="Arial" w:cs="Arial"/>
          <w:sz w:val="24"/>
          <w:szCs w:val="24"/>
          <w:lang w:val="en-US"/>
        </w:rPr>
        <w:footnoteReference w:id="10"/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CF66D7" w:rsidRPr="00DC21AE" w:rsidRDefault="006028ED" w:rsidP="00F86E84">
      <w:pPr>
        <w:pStyle w:val="2"/>
        <w:rPr>
          <w:color w:val="auto"/>
        </w:rPr>
      </w:pPr>
      <w:r w:rsidRPr="00DC21AE">
        <w:rPr>
          <w:color w:val="auto"/>
        </w:rPr>
        <w:t>Calls</w:t>
      </w:r>
      <w:r w:rsidR="00A00160" w:rsidRPr="00DC21AE">
        <w:rPr>
          <w:color w:val="auto"/>
        </w:rPr>
        <w:t xml:space="preserve"> upon EU Heads of </w:t>
      </w:r>
      <w:r w:rsidR="00544438" w:rsidRPr="00DC21AE">
        <w:rPr>
          <w:color w:val="auto"/>
        </w:rPr>
        <w:t>State</w:t>
      </w:r>
      <w:r w:rsidR="00A00160" w:rsidRPr="00DC21AE">
        <w:rPr>
          <w:color w:val="auto"/>
        </w:rPr>
        <w:t xml:space="preserve"> and Governments to: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Proclaim the Social Pillar at the social summit in Gothenburg on 17 November committing to implement it at national level </w:t>
      </w:r>
      <w:r w:rsidR="00D8723E">
        <w:rPr>
          <w:rFonts w:ascii="Arial" w:hAnsi="Arial" w:cs="Arial"/>
          <w:sz w:val="24"/>
          <w:szCs w:val="24"/>
          <w:lang w:val="en-US"/>
        </w:rPr>
        <w:t>by means of</w:t>
      </w:r>
      <w:r>
        <w:rPr>
          <w:rFonts w:ascii="Arial" w:hAnsi="Arial" w:cs="Arial"/>
          <w:sz w:val="24"/>
          <w:szCs w:val="24"/>
          <w:lang w:val="en-US"/>
        </w:rPr>
        <w:t xml:space="preserve"> concrete </w:t>
      </w:r>
      <w:r w:rsidR="00D8723E">
        <w:rPr>
          <w:rFonts w:ascii="Arial" w:hAnsi="Arial" w:cs="Arial"/>
          <w:sz w:val="24"/>
          <w:szCs w:val="24"/>
          <w:lang w:val="en-US"/>
        </w:rPr>
        <w:t>political</w:t>
      </w:r>
      <w:r>
        <w:rPr>
          <w:rFonts w:ascii="Arial" w:hAnsi="Arial" w:cs="Arial"/>
          <w:sz w:val="24"/>
          <w:szCs w:val="24"/>
          <w:lang w:val="en-US"/>
        </w:rPr>
        <w:t>, financial and legislative initiatives;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Support</w:t>
      </w:r>
      <w:r w:rsidR="00544438">
        <w:rPr>
          <w:rFonts w:ascii="Arial" w:hAnsi="Arial" w:cs="Arial"/>
          <w:sz w:val="24"/>
          <w:szCs w:val="24"/>
          <w:lang w:val="en-US"/>
        </w:rPr>
        <w:t xml:space="preserve"> </w:t>
      </w:r>
      <w:r w:rsidR="00D8723E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implementation of the Social Pillar allocating adequate financial resources including the European </w:t>
      </w:r>
      <w:r w:rsidR="00D8723E">
        <w:rPr>
          <w:rFonts w:ascii="Arial" w:hAnsi="Arial" w:cs="Arial"/>
          <w:sz w:val="24"/>
          <w:szCs w:val="24"/>
          <w:lang w:val="en-US"/>
        </w:rPr>
        <w:t>Social and Investment</w:t>
      </w:r>
      <w:r w:rsidR="00544438">
        <w:rPr>
          <w:rFonts w:ascii="Arial" w:hAnsi="Arial" w:cs="Arial"/>
          <w:sz w:val="24"/>
          <w:szCs w:val="24"/>
          <w:lang w:val="en-US"/>
        </w:rPr>
        <w:t xml:space="preserve"> </w:t>
      </w:r>
      <w:r w:rsidR="00D8723E">
        <w:rPr>
          <w:rFonts w:ascii="Arial" w:hAnsi="Arial" w:cs="Arial"/>
          <w:sz w:val="24"/>
          <w:szCs w:val="24"/>
          <w:lang w:val="en-US"/>
        </w:rPr>
        <w:t>F</w:t>
      </w:r>
      <w:r w:rsidR="00544438">
        <w:rPr>
          <w:rFonts w:ascii="Arial" w:hAnsi="Arial" w:cs="Arial"/>
          <w:sz w:val="24"/>
          <w:szCs w:val="24"/>
          <w:lang w:val="en-US"/>
        </w:rPr>
        <w:t>unds</w:t>
      </w:r>
      <w:r>
        <w:rPr>
          <w:rFonts w:ascii="Arial" w:hAnsi="Arial" w:cs="Arial"/>
          <w:sz w:val="24"/>
          <w:szCs w:val="24"/>
          <w:lang w:val="en-US"/>
        </w:rPr>
        <w:t xml:space="preserve"> and the future EU budget;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Define</w:t>
      </w:r>
      <w:r w:rsidR="00D8723E">
        <w:rPr>
          <w:rFonts w:ascii="Arial" w:hAnsi="Arial" w:cs="Arial"/>
          <w:sz w:val="24"/>
          <w:szCs w:val="24"/>
          <w:lang w:val="en-US"/>
        </w:rPr>
        <w:t xml:space="preserve"> the</w:t>
      </w:r>
      <w:r>
        <w:rPr>
          <w:rFonts w:ascii="Arial" w:hAnsi="Arial" w:cs="Arial"/>
          <w:sz w:val="24"/>
          <w:szCs w:val="24"/>
          <w:lang w:val="en-US"/>
        </w:rPr>
        <w:t xml:space="preserve"> added value of EU actions based on the </w:t>
      </w:r>
      <w:r w:rsidR="00182C35">
        <w:rPr>
          <w:rFonts w:ascii="Arial" w:hAnsi="Arial" w:cs="Arial"/>
          <w:sz w:val="24"/>
          <w:szCs w:val="24"/>
          <w:lang w:val="en-US"/>
        </w:rPr>
        <w:t xml:space="preserve">CRPD, the </w:t>
      </w:r>
      <w:r>
        <w:rPr>
          <w:rFonts w:ascii="Arial" w:hAnsi="Arial" w:cs="Arial"/>
          <w:sz w:val="24"/>
          <w:szCs w:val="24"/>
          <w:lang w:val="en-US"/>
        </w:rPr>
        <w:t xml:space="preserve">EU Charter of Fundamental Rights and the EU Treaties prioritizing the EU values of solidarity and integration; 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Ensure structured involvement of persons with disabilities and their representative organisations in the </w:t>
      </w:r>
      <w:r w:rsidR="00F86E84">
        <w:rPr>
          <w:rFonts w:ascii="Arial" w:hAnsi="Arial" w:cs="Arial"/>
          <w:sz w:val="24"/>
          <w:szCs w:val="24"/>
          <w:lang w:val="en-US"/>
        </w:rPr>
        <w:t>planning, implementation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82C35">
        <w:rPr>
          <w:rFonts w:ascii="Arial" w:hAnsi="Arial" w:cs="Arial"/>
          <w:sz w:val="24"/>
          <w:szCs w:val="24"/>
          <w:lang w:val="en-US"/>
        </w:rPr>
        <w:t xml:space="preserve">and monitoring </w:t>
      </w:r>
      <w:r>
        <w:rPr>
          <w:rFonts w:ascii="Arial" w:hAnsi="Arial" w:cs="Arial"/>
          <w:sz w:val="24"/>
          <w:szCs w:val="24"/>
          <w:lang w:val="en-US"/>
        </w:rPr>
        <w:t>of the Social Pillar and its related initiatives;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Take legislative and </w:t>
      </w:r>
      <w:r w:rsidR="00F31706">
        <w:rPr>
          <w:rFonts w:ascii="Arial" w:hAnsi="Arial" w:cs="Arial"/>
          <w:sz w:val="24"/>
          <w:szCs w:val="24"/>
          <w:lang w:val="en-US"/>
        </w:rPr>
        <w:t>political</w:t>
      </w:r>
      <w:r w:rsidR="00C41E23">
        <w:rPr>
          <w:rFonts w:ascii="Arial" w:hAnsi="Arial" w:cs="Arial"/>
          <w:sz w:val="24"/>
          <w:szCs w:val="24"/>
          <w:lang w:val="en-US"/>
        </w:rPr>
        <w:t xml:space="preserve"> measures</w:t>
      </w:r>
      <w:r>
        <w:rPr>
          <w:rFonts w:ascii="Arial" w:hAnsi="Arial" w:cs="Arial"/>
          <w:sz w:val="24"/>
          <w:szCs w:val="24"/>
          <w:lang w:val="en-US"/>
        </w:rPr>
        <w:t xml:space="preserve"> to implement the principle </w:t>
      </w:r>
      <w:r w:rsidR="00C41E23">
        <w:rPr>
          <w:rFonts w:ascii="Arial" w:hAnsi="Arial" w:cs="Arial"/>
          <w:sz w:val="24"/>
          <w:szCs w:val="24"/>
          <w:lang w:val="en-US"/>
        </w:rPr>
        <w:t>of social</w:t>
      </w:r>
      <w:r w:rsidR="00544438">
        <w:rPr>
          <w:rFonts w:ascii="Arial" w:hAnsi="Arial" w:cs="Arial"/>
          <w:sz w:val="24"/>
          <w:szCs w:val="24"/>
          <w:lang w:val="en-US"/>
        </w:rPr>
        <w:t xml:space="preserve"> </w:t>
      </w:r>
      <w:r w:rsidR="00C41E23">
        <w:rPr>
          <w:rFonts w:ascii="Arial" w:hAnsi="Arial" w:cs="Arial"/>
          <w:sz w:val="24"/>
          <w:szCs w:val="24"/>
          <w:lang w:val="en-US"/>
        </w:rPr>
        <w:t>i</w:t>
      </w:r>
      <w:r w:rsidR="00544438">
        <w:rPr>
          <w:rFonts w:ascii="Arial" w:hAnsi="Arial" w:cs="Arial"/>
          <w:sz w:val="24"/>
          <w:szCs w:val="24"/>
          <w:lang w:val="en-US"/>
        </w:rPr>
        <w:t>nclusion</w:t>
      </w:r>
      <w:r>
        <w:rPr>
          <w:rFonts w:ascii="Arial" w:hAnsi="Arial" w:cs="Arial"/>
          <w:sz w:val="24"/>
          <w:szCs w:val="24"/>
          <w:lang w:val="en-US"/>
        </w:rPr>
        <w:t xml:space="preserve"> of people with disabilities providing adequate income support that ensures living in dignity, </w:t>
      </w:r>
      <w:r w:rsidR="00D22ACF">
        <w:rPr>
          <w:rFonts w:ascii="Arial" w:hAnsi="Arial" w:cs="Arial"/>
          <w:sz w:val="24"/>
          <w:szCs w:val="24"/>
          <w:lang w:val="en-US"/>
        </w:rPr>
        <w:t xml:space="preserve">support </w:t>
      </w:r>
      <w:r>
        <w:rPr>
          <w:rFonts w:ascii="Arial" w:hAnsi="Arial" w:cs="Arial"/>
          <w:sz w:val="24"/>
          <w:szCs w:val="24"/>
          <w:lang w:val="en-US"/>
        </w:rPr>
        <w:t xml:space="preserve">services that enable them to participate in the </w:t>
      </w:r>
      <w:r w:rsidR="0092708F">
        <w:rPr>
          <w:rFonts w:ascii="Arial" w:hAnsi="Arial" w:cs="Arial"/>
          <w:sz w:val="24"/>
          <w:szCs w:val="24"/>
          <w:lang w:val="en-US"/>
        </w:rPr>
        <w:t>labor</w:t>
      </w:r>
      <w:r>
        <w:rPr>
          <w:rFonts w:ascii="Arial" w:hAnsi="Arial" w:cs="Arial"/>
          <w:sz w:val="24"/>
          <w:szCs w:val="24"/>
          <w:lang w:val="en-US"/>
        </w:rPr>
        <w:t xml:space="preserve"> market and in society, and a work environment adapted to their needs.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Include the Social Pillar in the overarching EU and national strategies to implement the CRPD;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Implement all</w:t>
      </w:r>
      <w:r w:rsidR="00544438">
        <w:rPr>
          <w:rFonts w:ascii="Arial" w:hAnsi="Arial" w:cs="Arial"/>
          <w:sz w:val="24"/>
          <w:szCs w:val="24"/>
          <w:lang w:val="en-US"/>
        </w:rPr>
        <w:t xml:space="preserve"> </w:t>
      </w:r>
      <w:r w:rsidR="00C41E23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principles of the Social Pillar including the specific perspective of persons with disabilities;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Take initiatives to reduce the employment gap between persons with and without disabilities with a focus to women and young persons with disabilities, including specific allocation of EU Structural and Investment Funds;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Increase social investment in education and training, employment services </w:t>
      </w:r>
      <w:r w:rsidR="00547E56">
        <w:rPr>
          <w:rFonts w:ascii="Arial" w:hAnsi="Arial" w:cs="Arial"/>
          <w:sz w:val="24"/>
          <w:szCs w:val="24"/>
          <w:lang w:val="en-US"/>
        </w:rPr>
        <w:t>as well as</w:t>
      </w:r>
      <w:r>
        <w:rPr>
          <w:rFonts w:ascii="Arial" w:hAnsi="Arial" w:cs="Arial"/>
          <w:sz w:val="24"/>
          <w:szCs w:val="24"/>
          <w:lang w:val="en-US"/>
        </w:rPr>
        <w:t xml:space="preserve"> social protection for persons with disabilities</w:t>
      </w:r>
      <w:r w:rsidR="00547E56">
        <w:rPr>
          <w:rFonts w:ascii="Arial" w:hAnsi="Arial" w:cs="Arial"/>
          <w:sz w:val="24"/>
          <w:szCs w:val="24"/>
          <w:lang w:val="en-US"/>
        </w:rPr>
        <w:t xml:space="preserve"> to protect those who cannot work from the risk of poverty and the to guarantee adequate standards of living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47E56" w:rsidRDefault="00547E56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Include disability specific indicators in the Social Scoreboard and other statistical tools used to monitor the implementation of the Social Pillar and other EU employment and social policies.</w:t>
      </w:r>
    </w:p>
    <w:p w:rsidR="00CF66D7" w:rsidRPr="00547E56" w:rsidRDefault="00A00160" w:rsidP="00F86E84">
      <w:pPr>
        <w:spacing w:after="240"/>
        <w:rPr>
          <w:rFonts w:ascii="Arial" w:hAnsi="Arial"/>
          <w:sz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Adopt the directive on “Work-Life Balance for Parents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Carers</w:t>
      </w:r>
      <w:proofErr w:type="spellEnd"/>
      <w:r>
        <w:rPr>
          <w:rFonts w:ascii="Arial" w:hAnsi="Arial" w:cs="Arial"/>
          <w:sz w:val="24"/>
          <w:szCs w:val="24"/>
          <w:lang w:val="en-US"/>
        </w:rPr>
        <w:t>” broadening the scope of the directive to all families, all types of workers, including home workers and introducing a specific provision on</w:t>
      </w:r>
      <w:r w:rsidR="00D12015">
        <w:rPr>
          <w:rFonts w:ascii="Arial" w:hAnsi="Arial" w:cs="Arial"/>
          <w:sz w:val="24"/>
          <w:szCs w:val="24"/>
          <w:lang w:val="en-US"/>
        </w:rPr>
        <w:t xml:space="preserve"> women and</w:t>
      </w:r>
      <w:r>
        <w:rPr>
          <w:rFonts w:ascii="Arial" w:hAnsi="Arial" w:cs="Arial"/>
          <w:sz w:val="24"/>
          <w:szCs w:val="24"/>
          <w:lang w:val="en-US"/>
        </w:rPr>
        <w:t xml:space="preserve"> children with disabilities in </w:t>
      </w:r>
      <w:r w:rsidR="00544438">
        <w:rPr>
          <w:rFonts w:ascii="Arial" w:hAnsi="Arial" w:cs="Arial"/>
          <w:sz w:val="24"/>
          <w:szCs w:val="24"/>
          <w:lang w:val="en-US"/>
        </w:rPr>
        <w:t>accordance</w:t>
      </w:r>
      <w:r>
        <w:rPr>
          <w:rFonts w:ascii="Arial" w:hAnsi="Arial" w:cs="Arial"/>
          <w:sz w:val="24"/>
          <w:szCs w:val="24"/>
          <w:lang w:val="en-US"/>
        </w:rPr>
        <w:t xml:space="preserve"> with Art. </w:t>
      </w:r>
      <w:r w:rsidR="00D12015">
        <w:rPr>
          <w:rFonts w:ascii="Arial" w:hAnsi="Arial" w:cs="Arial"/>
          <w:sz w:val="24"/>
          <w:szCs w:val="24"/>
          <w:lang w:val="en-US"/>
        </w:rPr>
        <w:t xml:space="preserve">6 and </w:t>
      </w:r>
      <w:r>
        <w:rPr>
          <w:rFonts w:ascii="Arial" w:hAnsi="Arial" w:cs="Arial"/>
          <w:sz w:val="24"/>
          <w:szCs w:val="24"/>
          <w:lang w:val="en-US"/>
        </w:rPr>
        <w:t>7 of the CRPD;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Ensure access for persons with disabilities to adequate wages and income on an equal basis with others;</w:t>
      </w:r>
    </w:p>
    <w:p w:rsidR="00CF66D7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Establish a social protection floor that </w:t>
      </w:r>
      <w:r w:rsidR="00C41E23">
        <w:rPr>
          <w:rFonts w:ascii="Arial" w:hAnsi="Arial" w:cs="Arial"/>
          <w:sz w:val="24"/>
          <w:szCs w:val="24"/>
          <w:lang w:val="en-US"/>
        </w:rPr>
        <w:t xml:space="preserve">fully </w:t>
      </w:r>
      <w:r>
        <w:rPr>
          <w:rFonts w:ascii="Arial" w:hAnsi="Arial" w:cs="Arial"/>
          <w:sz w:val="24"/>
          <w:szCs w:val="24"/>
          <w:lang w:val="en-US"/>
        </w:rPr>
        <w:t xml:space="preserve">respects the right </w:t>
      </w:r>
      <w:r w:rsidR="00C41E23">
        <w:rPr>
          <w:rFonts w:ascii="Arial" w:hAnsi="Arial" w:cs="Arial"/>
          <w:sz w:val="24"/>
          <w:szCs w:val="24"/>
          <w:lang w:val="en-US"/>
        </w:rPr>
        <w:t xml:space="preserve">of persons with disabilities </w:t>
      </w:r>
      <w:r>
        <w:rPr>
          <w:rFonts w:ascii="Arial" w:hAnsi="Arial" w:cs="Arial"/>
          <w:sz w:val="24"/>
          <w:szCs w:val="24"/>
          <w:lang w:val="en-US"/>
        </w:rPr>
        <w:t>to an adequate standard of</w:t>
      </w:r>
      <w:r w:rsidR="00547E56">
        <w:rPr>
          <w:rFonts w:ascii="Arial" w:hAnsi="Arial" w:cs="Arial"/>
          <w:sz w:val="24"/>
          <w:szCs w:val="24"/>
          <w:lang w:val="en-US"/>
        </w:rPr>
        <w:t xml:space="preserve"> living and to social protectio</w:t>
      </w:r>
      <w:r w:rsidR="00A27C75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A27C75" w:rsidRPr="00F86E84" w:rsidRDefault="00A00160" w:rsidP="00F86E84">
      <w:pPr>
        <w:spacing w:after="2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Take specific initiatives under the Social Pillar to work towards the fulfilment of the commitment to eradicate poverty and achieve </w:t>
      </w:r>
      <w:r w:rsidR="00F86E84">
        <w:rPr>
          <w:rFonts w:ascii="Arial" w:hAnsi="Arial" w:cs="Arial"/>
          <w:sz w:val="24"/>
          <w:szCs w:val="24"/>
          <w:lang w:val="en-US"/>
        </w:rPr>
        <w:t>sustainable development by 2030.</w:t>
      </w:r>
    </w:p>
    <w:sectPr w:rsidR="00A27C75" w:rsidRPr="00F86E84">
      <w:headerReference w:type="default" r:id="rId18"/>
      <w:footerReference w:type="default" r:id="rId19"/>
      <w:pgSz w:w="11906" w:h="16838"/>
      <w:pgMar w:top="1171" w:right="1417" w:bottom="1417" w:left="1417" w:header="708" w:footer="4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61" w:rsidRDefault="00694A61">
      <w:pPr>
        <w:spacing w:after="0" w:line="240" w:lineRule="auto"/>
      </w:pPr>
      <w:r>
        <w:separator/>
      </w:r>
    </w:p>
  </w:endnote>
  <w:endnote w:type="continuationSeparator" w:id="0">
    <w:p w:rsidR="00694A61" w:rsidRDefault="00694A61">
      <w:pPr>
        <w:spacing w:after="0" w:line="240" w:lineRule="auto"/>
      </w:pPr>
      <w:r>
        <w:continuationSeparator/>
      </w:r>
    </w:p>
  </w:endnote>
  <w:endnote w:type="continuationNotice" w:id="1">
    <w:p w:rsidR="00694A61" w:rsidRDefault="00694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60" w:rsidRDefault="00416100">
    <w:pPr>
      <w:pStyle w:val="a7"/>
      <w:tabs>
        <w:tab w:val="clear" w:pos="4536"/>
        <w:tab w:val="clear" w:pos="9072"/>
        <w:tab w:val="left" w:pos="1425"/>
      </w:tabs>
    </w:pPr>
    <w:r w:rsidRPr="00547E56">
      <w:rPr>
        <w:noProof/>
        <w:lang w:val="el-GR" w:eastAsia="el-GR"/>
      </w:rPr>
      <w:drawing>
        <wp:inline distT="0" distB="0" distL="0" distR="0">
          <wp:extent cx="6867525" cy="495300"/>
          <wp:effectExtent l="0" t="0" r="0" b="0"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61" w:rsidRDefault="00694A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4A61" w:rsidRDefault="00694A61">
      <w:pPr>
        <w:spacing w:after="0" w:line="240" w:lineRule="auto"/>
      </w:pPr>
      <w:r>
        <w:continuationSeparator/>
      </w:r>
    </w:p>
  </w:footnote>
  <w:footnote w:type="continuationNotice" w:id="1">
    <w:p w:rsidR="00694A61" w:rsidRDefault="00694A61">
      <w:pPr>
        <w:spacing w:after="0" w:line="240" w:lineRule="auto"/>
      </w:pPr>
    </w:p>
  </w:footnote>
  <w:footnote w:id="2">
    <w:p w:rsidR="00CF66D7" w:rsidRDefault="00A00160">
      <w:pPr>
        <w:pStyle w:val="a9"/>
      </w:pPr>
      <w:r>
        <w:rPr>
          <w:rStyle w:val="aa"/>
        </w:rPr>
        <w:footnoteRef/>
      </w:r>
      <w:r>
        <w:rPr>
          <w:lang w:val="en-US"/>
        </w:rPr>
        <w:t xml:space="preserve"> https://documents-dds-ny.un.org/doc/UNDOC/GEN/G15/226/55/PDF/G1522655.pdf?OpenElement</w:t>
      </w:r>
    </w:p>
  </w:footnote>
  <w:footnote w:id="3">
    <w:p w:rsidR="00CF66D7" w:rsidRDefault="00A00160">
      <w:pPr>
        <w:pStyle w:val="a9"/>
      </w:pPr>
      <w:r>
        <w:rPr>
          <w:rStyle w:val="aa"/>
        </w:rPr>
        <w:footnoteRef/>
      </w:r>
      <w:r>
        <w:t xml:space="preserve"> http://ec.europa.eu/social/BlobServlet?docId=17224&amp;langId=en</w:t>
      </w:r>
    </w:p>
  </w:footnote>
  <w:footnote w:id="4">
    <w:p w:rsidR="008662ED" w:rsidRDefault="00544438">
      <w:pPr>
        <w:pStyle w:val="a9"/>
      </w:pPr>
      <w:r>
        <w:rPr>
          <w:rStyle w:val="aa"/>
        </w:rPr>
        <w:footnoteRef/>
      </w:r>
      <w:r>
        <w:t xml:space="preserve"> http://ec.europa.eu/social/BlobServlet?docId=17224&amp;langId=en</w:t>
      </w:r>
    </w:p>
  </w:footnote>
  <w:footnote w:id="5">
    <w:p w:rsidR="00547E56" w:rsidRDefault="00547E56">
      <w:pPr>
        <w:pStyle w:val="a9"/>
      </w:pPr>
      <w:r>
        <w:rPr>
          <w:rStyle w:val="aa"/>
        </w:rPr>
        <w:footnoteRef/>
      </w:r>
      <w:r>
        <w:t xml:space="preserve"> EU SILC </w:t>
      </w:r>
      <w:r w:rsidRPr="00547E56">
        <w:t>http://ec.europa.eu/eurostat/statistics-explained/index.php/Disability_statistics_-_poverty_and_income_inequalities</w:t>
      </w:r>
    </w:p>
  </w:footnote>
  <w:footnote w:id="6">
    <w:p w:rsidR="00CF66D7" w:rsidRDefault="00A00160">
      <w:pPr>
        <w:pStyle w:val="a9"/>
      </w:pPr>
      <w:r>
        <w:rPr>
          <w:rStyle w:val="aa"/>
        </w:rPr>
        <w:footnoteRef/>
      </w:r>
      <w:r>
        <w:t xml:space="preserve"> https://ec.europa.eu/commission/publications/reflection-paper-social-dimension-europe_en</w:t>
      </w:r>
    </w:p>
  </w:footnote>
  <w:footnote w:id="7">
    <w:p w:rsidR="00CF66D7" w:rsidRDefault="00A00160">
      <w:pPr>
        <w:pStyle w:val="a9"/>
      </w:pPr>
      <w:r>
        <w:rPr>
          <w:rStyle w:val="aa"/>
        </w:rPr>
        <w:footnoteRef/>
      </w:r>
      <w:r>
        <w:t xml:space="preserve"> https://ec.europa.eu/commission/publications/reflection-paper-future-eu-finances_en</w:t>
      </w:r>
    </w:p>
  </w:footnote>
  <w:footnote w:id="8">
    <w:p w:rsidR="00CF66D7" w:rsidRDefault="00A00160">
      <w:pPr>
        <w:pStyle w:val="a9"/>
      </w:pPr>
      <w:r>
        <w:rPr>
          <w:rStyle w:val="aa"/>
        </w:rPr>
        <w:footnoteRef/>
      </w:r>
      <w:r>
        <w:t xml:space="preserve"> https://deinstitutionalisation.com/2017/09/07/eeg-response-to-the-reflection-paper-on-the-future-of-eu-finances/</w:t>
      </w:r>
    </w:p>
  </w:footnote>
  <w:footnote w:id="9">
    <w:p w:rsidR="00CF66D7" w:rsidRDefault="00A00160">
      <w:pPr>
        <w:pStyle w:val="a9"/>
      </w:pPr>
      <w:r>
        <w:rPr>
          <w:rStyle w:val="aa"/>
        </w:rPr>
        <w:footnoteRef/>
      </w:r>
      <w:r>
        <w:t xml:space="preserve"> https://ec.europa.eu/info/strategy/sustainable-development-goals/eu-approach-sustainable-development_en</w:t>
      </w:r>
    </w:p>
  </w:footnote>
  <w:footnote w:id="10">
    <w:p w:rsidR="00CF66D7" w:rsidRDefault="00A00160">
      <w:pPr>
        <w:pStyle w:val="a9"/>
      </w:pPr>
      <w:r>
        <w:rPr>
          <w:rStyle w:val="aa"/>
        </w:rPr>
        <w:footnoteRef/>
      </w:r>
      <w:r>
        <w:t xml:space="preserve"> http://www.un.org/sustainabledevelopment/sustainable-development-goals/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60" w:rsidRDefault="00416100">
    <w:pPr>
      <w:pStyle w:val="a6"/>
      <w:tabs>
        <w:tab w:val="clear" w:pos="4536"/>
      </w:tabs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7620</wp:posOffset>
          </wp:positionV>
          <wp:extent cx="1552575" cy="1012190"/>
          <wp:effectExtent l="0" t="0" r="0" b="0"/>
          <wp:wrapTight wrapText="bothSides">
            <wp:wrapPolygon edited="0">
              <wp:start x="0" y="407"/>
              <wp:lineTo x="0" y="21139"/>
              <wp:lineTo x="18817" y="21139"/>
              <wp:lineTo x="18817" y="407"/>
              <wp:lineTo x="0" y="407"/>
            </wp:wrapPolygon>
          </wp:wrapTight>
          <wp:docPr id="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54" t="-5646" r="-3316" b="5646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E56">
      <w:rPr>
        <w:noProof/>
        <w:lang w:val="el-GR" w:eastAsia="el-GR"/>
      </w:rPr>
      <w:drawing>
        <wp:inline distT="0" distB="0" distL="0" distR="0">
          <wp:extent cx="981075" cy="1219200"/>
          <wp:effectExtent l="0" t="0" r="9525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16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D7"/>
    <w:rsid w:val="0000225F"/>
    <w:rsid w:val="00003FB7"/>
    <w:rsid w:val="00073D27"/>
    <w:rsid w:val="000A7BD2"/>
    <w:rsid w:val="00144977"/>
    <w:rsid w:val="00166D38"/>
    <w:rsid w:val="00180028"/>
    <w:rsid w:val="00182C35"/>
    <w:rsid w:val="001A1CCD"/>
    <w:rsid w:val="00275CD4"/>
    <w:rsid w:val="004001A5"/>
    <w:rsid w:val="00416100"/>
    <w:rsid w:val="00421EA1"/>
    <w:rsid w:val="00432F8B"/>
    <w:rsid w:val="004A1288"/>
    <w:rsid w:val="004E4E5A"/>
    <w:rsid w:val="00544438"/>
    <w:rsid w:val="00547E56"/>
    <w:rsid w:val="00560624"/>
    <w:rsid w:val="005C5DF4"/>
    <w:rsid w:val="00602841"/>
    <w:rsid w:val="006028ED"/>
    <w:rsid w:val="00694A61"/>
    <w:rsid w:val="00767E74"/>
    <w:rsid w:val="008045EC"/>
    <w:rsid w:val="008662ED"/>
    <w:rsid w:val="008C173D"/>
    <w:rsid w:val="0092708F"/>
    <w:rsid w:val="00A00160"/>
    <w:rsid w:val="00A27C75"/>
    <w:rsid w:val="00A663FB"/>
    <w:rsid w:val="00A865AE"/>
    <w:rsid w:val="00AA093E"/>
    <w:rsid w:val="00AC7D08"/>
    <w:rsid w:val="00B43977"/>
    <w:rsid w:val="00C41E23"/>
    <w:rsid w:val="00CA332A"/>
    <w:rsid w:val="00CF66D7"/>
    <w:rsid w:val="00D12015"/>
    <w:rsid w:val="00D22ACF"/>
    <w:rsid w:val="00D8723E"/>
    <w:rsid w:val="00DC21AE"/>
    <w:rsid w:val="00DD40DC"/>
    <w:rsid w:val="00E0182E"/>
    <w:rsid w:val="00F31706"/>
    <w:rsid w:val="00F86E84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7ADFEC-F468-4269-940C-0A366E1A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fr-BE" w:eastAsia="en-US"/>
    </w:rPr>
  </w:style>
  <w:style w:type="paragraph" w:styleId="1">
    <w:name w:val="heading 1"/>
    <w:basedOn w:val="a"/>
    <w:next w:val="a"/>
    <w:pPr>
      <w:keepNext/>
      <w:keepLines/>
      <w:spacing w:before="480" w:after="480" w:line="240" w:lineRule="auto"/>
      <w:outlineLvl w:val="0"/>
    </w:pPr>
    <w:rPr>
      <w:rFonts w:ascii="Arial" w:eastAsia="Times New Roman" w:hAnsi="Arial"/>
      <w:b/>
      <w:bCs/>
      <w:color w:val="0A77B3"/>
      <w:sz w:val="36"/>
      <w:szCs w:val="28"/>
      <w:lang w:val="en-GB"/>
    </w:rPr>
  </w:style>
  <w:style w:type="paragraph" w:styleId="2">
    <w:name w:val="heading 2"/>
    <w:basedOn w:val="a"/>
    <w:next w:val="a"/>
    <w:pPr>
      <w:keepNext/>
      <w:keepLines/>
      <w:spacing w:before="480" w:after="480" w:line="240" w:lineRule="auto"/>
      <w:outlineLvl w:val="1"/>
    </w:pPr>
    <w:rPr>
      <w:rFonts w:ascii="Arial" w:eastAsia="Times New Roman" w:hAnsi="Arial"/>
      <w:b/>
      <w:bCs/>
      <w:color w:val="E22B21"/>
      <w:sz w:val="32"/>
      <w:szCs w:val="26"/>
      <w:lang w:val="en-GB"/>
    </w:rPr>
  </w:style>
  <w:style w:type="paragraph" w:styleId="3">
    <w:name w:val="heading 3"/>
    <w:basedOn w:val="a"/>
    <w:next w:val="a"/>
    <w:pPr>
      <w:keepNext/>
      <w:keepLines/>
      <w:spacing w:before="480" w:after="480" w:line="240" w:lineRule="auto"/>
      <w:outlineLvl w:val="2"/>
    </w:pPr>
    <w:rPr>
      <w:rFonts w:ascii="Arial" w:eastAsia="Times New Roman" w:hAnsi="Arial"/>
      <w:b/>
      <w:bCs/>
      <w:color w:val="000000"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0" w:line="240" w:lineRule="auto"/>
      <w:ind w:left="720"/>
    </w:pPr>
    <w:rPr>
      <w:lang w:val="en-GB"/>
    </w:rPr>
  </w:style>
  <w:style w:type="paragraph" w:styleId="a4">
    <w:name w:val="Subtitle"/>
    <w:basedOn w:val="a"/>
    <w:next w:val="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  <w:lang w:val="fr-BE"/>
    </w:rPr>
  </w:style>
  <w:style w:type="paragraph" w:styleId="a5">
    <w:name w:val="Title"/>
    <w:basedOn w:val="a"/>
    <w:next w:val="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3"/>
      <w:sz w:val="32"/>
      <w:szCs w:val="32"/>
      <w:lang w:val="fr-BE"/>
    </w:rPr>
  </w:style>
  <w:style w:type="paragraph" w:styleId="a6">
    <w:name w:val="head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lang w:val="fr-BE"/>
    </w:rPr>
  </w:style>
  <w:style w:type="paragraph" w:styleId="a7">
    <w:name w:val="footer"/>
    <w:basedOn w:val="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lang w:val="fr-BE"/>
    </w:r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sz w:val="18"/>
      <w:szCs w:val="18"/>
      <w:lang w:val="fr-BE"/>
    </w:rPr>
  </w:style>
  <w:style w:type="character" w:styleId="-">
    <w:name w:val="Hyperlink"/>
    <w:rPr>
      <w:color w:val="0000FF"/>
      <w:u w:val="single"/>
    </w:rPr>
  </w:style>
  <w:style w:type="character" w:customStyle="1" w:styleId="Mention">
    <w:name w:val="Mention"/>
    <w:rPr>
      <w:color w:val="2B579A"/>
      <w:shd w:val="clear" w:color="auto" w:fill="E6E6E6"/>
    </w:rPr>
  </w:style>
  <w:style w:type="paragraph" w:styleId="a9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rFonts w:ascii="Calibri" w:eastAsia="Calibri" w:hAnsi="Calibri" w:cs="Times New Roman"/>
      <w:sz w:val="20"/>
      <w:szCs w:val="20"/>
      <w:lang w:val="fr-BE"/>
    </w:rPr>
  </w:style>
  <w:style w:type="character" w:styleId="aa">
    <w:name w:val="footnote reference"/>
    <w:rPr>
      <w:position w:val="0"/>
      <w:vertAlign w:val="superscript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color w:val="0A77B3"/>
      <w:sz w:val="36"/>
      <w:szCs w:val="28"/>
    </w:rPr>
  </w:style>
  <w:style w:type="character" w:customStyle="1" w:styleId="Heading2Char">
    <w:name w:val="Heading 2 Char"/>
    <w:rPr>
      <w:rFonts w:ascii="Arial" w:eastAsia="Times New Roman" w:hAnsi="Arial" w:cs="Times New Roman"/>
      <w:b/>
      <w:bCs/>
      <w:color w:val="E22B21"/>
      <w:sz w:val="32"/>
      <w:szCs w:val="26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color w:val="000000"/>
      <w:sz w:val="28"/>
    </w:rPr>
  </w:style>
  <w:style w:type="character" w:styleId="ab">
    <w:name w:val="Strong"/>
    <w:rPr>
      <w:b/>
      <w:bCs/>
    </w:rPr>
  </w:style>
  <w:style w:type="paragraph" w:styleId="Web">
    <w:name w:val="Normal (Web)"/>
    <w:basedOn w:val="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-0">
    <w:name w:val="FollowedHyperlink"/>
    <w:rPr>
      <w:color w:val="954F72"/>
      <w:u w:val="single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sz w:val="20"/>
      <w:szCs w:val="20"/>
      <w:lang w:val="fr-BE"/>
    </w:rPr>
  </w:style>
  <w:style w:type="paragraph" w:styleId="ae">
    <w:name w:val="annotation subject"/>
    <w:basedOn w:val="ad"/>
    <w:next w:val="ad"/>
    <w:rPr>
      <w:b/>
      <w:bCs/>
    </w:rPr>
  </w:style>
  <w:style w:type="character" w:customStyle="1" w:styleId="CommentSubjectChar">
    <w:name w:val="Comment Subject Char"/>
    <w:rPr>
      <w:b/>
      <w:bCs/>
      <w:sz w:val="20"/>
      <w:szCs w:val="20"/>
      <w:lang w:val="fr-BE"/>
    </w:rPr>
  </w:style>
  <w:style w:type="paragraph" w:styleId="af">
    <w:name w:val="Revision"/>
    <w:hidden/>
    <w:uiPriority w:val="99"/>
    <w:semiHidden/>
    <w:rsid w:val="00547E56"/>
    <w:rPr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G15/226/55/PDF/G1522655.pdf?OpenElement" TargetMode="External"/><Relationship Id="rId13" Type="http://schemas.openxmlformats.org/officeDocument/2006/relationships/hyperlink" Target="https://ec.europa.eu/commission/publications/reflection-paper-social-dimension-europe_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df-feph.org/" TargetMode="External"/><Relationship Id="rId12" Type="http://schemas.openxmlformats.org/officeDocument/2006/relationships/hyperlink" Target="http://ec.europa.eu/eurostat/statistics-explained/index.php/Glossary:Severe_material_deprivation_rate" TargetMode="External"/><Relationship Id="rId17" Type="http://schemas.openxmlformats.org/officeDocument/2006/relationships/hyperlink" Target="http://www.un.org/sustainabledevelopment/sustainable-development-go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info/strategy/sustainable-development-goals/eu-approach-sustainable-development_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c.europa.eu/eurostat/statistics-explained/index.php/Glossary:At-risk-of-poverty_r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institutionalisation.com/2017/09/07/eeg-response-to-the-reflection-paper-on-the-future-of-eu-finances/" TargetMode="External"/><Relationship Id="rId10" Type="http://schemas.openxmlformats.org/officeDocument/2006/relationships/hyperlink" Target="http://ec.europa.eu/eurostat/statistics-explained/index.php/Glossary:EU-2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social/BlobServlet?docId=17224&amp;langId=en" TargetMode="External"/><Relationship Id="rId14" Type="http://schemas.openxmlformats.org/officeDocument/2006/relationships/hyperlink" Target="https://ec.europa.eu/commission/publications/reflection-paper-future-eu-finances_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DDC5-9E32-412A-A113-26312F1F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1185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7569</CharactersWithSpaces>
  <SharedDoc>false</SharedDoc>
  <HLinks>
    <vt:vector size="66" baseType="variant">
      <vt:variant>
        <vt:i4>3473527</vt:i4>
      </vt:variant>
      <vt:variant>
        <vt:i4>30</vt:i4>
      </vt:variant>
      <vt:variant>
        <vt:i4>0</vt:i4>
      </vt:variant>
      <vt:variant>
        <vt:i4>5</vt:i4>
      </vt:variant>
      <vt:variant>
        <vt:lpwstr>http://www.un.org/sustainabledevelopment/sustainable-development-goals/</vt:lpwstr>
      </vt:variant>
      <vt:variant>
        <vt:lpwstr/>
      </vt:variant>
      <vt:variant>
        <vt:i4>3407901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https://ec.europa.eu/info/strategy/sustainable-development-goals/eu-approach-sustainable-development_en</vt:lpwstr>
      </vt:variant>
      <vt:variant>
        <vt:lpwstr/>
      </vt:variant>
      <vt:variant>
        <vt:i4>4653126</vt:i4>
      </vt:variant>
      <vt:variant>
        <vt:i4>24</vt:i4>
      </vt:variant>
      <vt:variant>
        <vt:i4>0</vt:i4>
      </vt:variant>
      <vt:variant>
        <vt:i4>5</vt:i4>
      </vt:variant>
      <vt:variant>
        <vt:lpwstr>https://deinstitutionalisation.com/2017/09/07/eeg-response-to-the-reflection-paper-on-the-future-of-eu-finances/</vt:lpwstr>
      </vt:variant>
      <vt:variant>
        <vt:lpwstr/>
      </vt:variant>
      <vt:variant>
        <vt:i4>3538949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https://ec.europa.eu/commission/publications/reflection-paper-future-eu-finances_en</vt:lpwstr>
      </vt:variant>
      <vt:variant>
        <vt:lpwstr/>
      </vt:variant>
      <vt:variant>
        <vt:i4>3801114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https://ec.europa.eu/commission/publications/reflection-paper-social-dimension-europe_en</vt:lpwstr>
      </vt:variant>
      <vt:variant>
        <vt:lpwstr/>
      </vt:variant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http://ec.europa.eu/eurostat/statistics-explained/index.php/Glossary:Severe_material_deprivation_rate</vt:lpwstr>
      </vt:variant>
      <vt:variant>
        <vt:lpwstr/>
      </vt:variant>
      <vt:variant>
        <vt:i4>7405592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http://ec.europa.eu/eurostat/statistics-explained/index.php/Glossary:At-risk-of-poverty_rate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http://ec.europa.eu/eurostat/statistics-explained/index.php/Glossary:EU-28</vt:lpwstr>
      </vt:variant>
      <vt:variant>
        <vt:lpwstr/>
      </vt:variant>
      <vt:variant>
        <vt:i4>4390992</vt:i4>
      </vt:variant>
      <vt:variant>
        <vt:i4>6</vt:i4>
      </vt:variant>
      <vt:variant>
        <vt:i4>0</vt:i4>
      </vt:variant>
      <vt:variant>
        <vt:i4>5</vt:i4>
      </vt:variant>
      <vt:variant>
        <vt:lpwstr>http://ec.europa.eu/social/BlobServlet?docId=17224&amp;langId=en</vt:lpwstr>
      </vt:variant>
      <vt:variant>
        <vt:lpwstr/>
      </vt:variant>
      <vt:variant>
        <vt:i4>5505028</vt:i4>
      </vt:variant>
      <vt:variant>
        <vt:i4>3</vt:i4>
      </vt:variant>
      <vt:variant>
        <vt:i4>0</vt:i4>
      </vt:variant>
      <vt:variant>
        <vt:i4>5</vt:i4>
      </vt:variant>
      <vt:variant>
        <vt:lpwstr>https://documents-dds-ny.un.org/doc/UNDOC/GEN/G15/226/55/PDF/G1522655.pdf?OpenElement</vt:lpwstr>
      </vt:variant>
      <vt:variant>
        <vt:lpwstr/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http://www.edf-feph.org/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Giarratano</dc:creator>
  <cp:keywords/>
  <dc:description/>
  <cp:lastModifiedBy>tkatsani</cp:lastModifiedBy>
  <cp:revision>5</cp:revision>
  <cp:lastPrinted>2017-10-03T10:12:00Z</cp:lastPrinted>
  <dcterms:created xsi:type="dcterms:W3CDTF">2017-11-10T08:01:00Z</dcterms:created>
  <dcterms:modified xsi:type="dcterms:W3CDTF">2017-11-10T08:04:00Z</dcterms:modified>
</cp:coreProperties>
</file>