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AA305" w14:textId="20FC74E7" w:rsidR="00A476B2" w:rsidRPr="00A476B2" w:rsidRDefault="00A476B2" w:rsidP="00A476B2">
      <w:pPr>
        <w:rPr>
          <w:b/>
          <w:bCs/>
        </w:rPr>
      </w:pPr>
      <w:r w:rsidRPr="00A476B2">
        <w:rPr>
          <w:b/>
          <w:bCs/>
        </w:rPr>
        <w:t>Ομιλία Ι. Βαρδακαστάνη</w:t>
      </w:r>
    </w:p>
    <w:p w14:paraId="1E471BB2" w14:textId="101D832F" w:rsidR="00A476B2" w:rsidRDefault="00A476B2" w:rsidP="00A476B2">
      <w:r>
        <w:t>Κυρίες και Κύριοι</w:t>
      </w:r>
      <w:r>
        <w:t>,</w:t>
      </w:r>
    </w:p>
    <w:p w14:paraId="4CABCD61" w14:textId="77777777" w:rsidR="00A476B2" w:rsidRDefault="00A476B2" w:rsidP="00A476B2">
      <w:r>
        <w:t xml:space="preserve">Είναι χαρά μου να απευθύνομαι σε αυτήν την πολύ σημαντική συνάντηση μεταξύ της Αφρικής και της Ευρωπαϊκής Ένωσης για την επίτευξη ενός κοινού βιώσιμου μέλλοντος. Θα ήθελα να μετατοπίσω τη συζήτησή μας στις στρατηγικές και γεωπολιτικές διαστάσεις της πολιτικής για το νερό. </w:t>
      </w:r>
    </w:p>
    <w:p w14:paraId="53243230" w14:textId="0E98660F" w:rsidR="00A476B2" w:rsidRDefault="00A476B2" w:rsidP="00A476B2">
      <w:r>
        <w:t xml:space="preserve">Από όλους τους φυσικούς πόρους, το νερό έχει γίνει το πιο πολύτιμο. Επιπλέον, πιστεύουμε ότι το νερό δεν είναι ένα απλό εμπόρευμα, αλλά ένα δημόσιο αγαθό απαραίτητο για την ανθρώπινη ζωή. Η παγκόσμια λειψυδρία αποτελεί σοβαρή πρόκληση για τη συνέχιση της ανθρώπινης ανάπτυξης και την επίτευξη αρκετών στόχων βιώσιμης ανάπτυξης των Ηνωμένων Εθνών. Παρά το γεγονός ότι τα τρία τέταρτα του πλανήτη μας αποτελούνται από νερό, το μεγαλύτερο μέρος του άφθονου νερού της Γης δεν είναι χρησιμοποιήσιμο και μόνο το 2,5% αποτελεί γλυκό νερό, εκ των οποίων λιγότερο από το 1% είναι εύκολα προσβάσιμο. Επιπλέον, τα συστήματα γλυκών υδάτων αντιμετωπίζουν συνεχώς μείωση όσον αφορά </w:t>
      </w:r>
      <w:r>
        <w:t>σ</w:t>
      </w:r>
      <w:r>
        <w:t xml:space="preserve">την ποιότητα και </w:t>
      </w:r>
      <w:r>
        <w:t>σ</w:t>
      </w:r>
      <w:r>
        <w:t>την ποσότητα.</w:t>
      </w:r>
      <w:r w:rsidRPr="00A476B2">
        <w:t xml:space="preserve"> </w:t>
      </w:r>
    </w:p>
    <w:p w14:paraId="1FDF1EB7" w14:textId="134698B0" w:rsidR="00A476B2" w:rsidRDefault="00A476B2" w:rsidP="00A476B2">
      <w:r>
        <w:t xml:space="preserve">Η </w:t>
      </w:r>
      <w:r>
        <w:t xml:space="preserve">γνωμοδότησή </w:t>
      </w:r>
      <w:r>
        <w:t>μας έχει τίτλο «Water Politics: Between Desertification and Securitization - Time for a Blue Diplomacy» και ρίχνει φως στο πώς η κλιματική κρίση φέρνει το νερό στο επίκεντρο των διεθνών διαφορών.</w:t>
      </w:r>
      <w:r w:rsidRPr="00A476B2">
        <w:t xml:space="preserve"> </w:t>
      </w:r>
    </w:p>
    <w:p w14:paraId="5FD12A0B" w14:textId="165C4E90" w:rsidR="00A476B2" w:rsidRDefault="00A476B2" w:rsidP="00A476B2">
      <w:r>
        <w:t>Σύμφωνα με τον Ευρωπαϊκό Οργανισμό Περιβάλλοντος, η υδατική καταπόνηση συμβαίνει όταν η ζήτηση νερού υπερβαίνει τη διαθέσιμη ποσότητα κατά τη διάρκεια μιας συγκεκριμένης περιόδου</w:t>
      </w:r>
      <w:r>
        <w:t>,</w:t>
      </w:r>
      <w:r>
        <w:t xml:space="preserve"> ή όταν η κακή ποιότητα περιορίζει τη χρήση του. Καθώς ο παγκόσμιος πληθυσμός συνεχίζει να αυξάνεται και το νερό είναι όλο και πιο σπάνιο, οι συγκρούσεις που σχετίζονται με το νερό και η γεωπολιτική αστάθεια σε όλο τον κόσμο δεν είναι δύσκολο να προβλεφθούν.</w:t>
      </w:r>
      <w:r w:rsidRPr="00A476B2">
        <w:t xml:space="preserve"> </w:t>
      </w:r>
    </w:p>
    <w:p w14:paraId="36D38717" w14:textId="33144547" w:rsidR="00A476B2" w:rsidRDefault="00A476B2" w:rsidP="00A476B2">
      <w:r>
        <w:t xml:space="preserve">Η λειψυδρία απειλεί την ανθεκτικότητα ορισμένων περιοχών του κόσμου, τροφοδοτεί ανισότητες και εγείρει ανησυχίες για την επισιτιστική ασφάλεια. Η λειψυδρία και η </w:t>
      </w:r>
      <w:r w:rsidR="00C84750">
        <w:t>ερημοποίηση</w:t>
      </w:r>
      <w:r>
        <w:t xml:space="preserve"> συχνά οδηγούν στην τιτλοποίηση της παροχής νερού. Η άνιση πρόσβαση στο νερό τροφοδοτεί την κοινωνική αστάθεια και, κατά συνέπεια, οδηγεί σε τοπικές και διεθνείς συγκρούσεις και εντάσεις. Για άλλη μια φορά, οι φτωχότεροι θα είναι εκείνοι που θα υποφέρουν περισσότερο από την λειψυδρία και την </w:t>
      </w:r>
      <w:r>
        <w:t>ερημοποίηση</w:t>
      </w:r>
      <w:r>
        <w:t>.</w:t>
      </w:r>
      <w:r w:rsidRPr="00A476B2">
        <w:t xml:space="preserve"> </w:t>
      </w:r>
    </w:p>
    <w:p w14:paraId="28E0D9FA" w14:textId="6CC759F9" w:rsidR="00A476B2" w:rsidRDefault="00A476B2" w:rsidP="00A476B2">
      <w:r>
        <w:t>Η κλιματική αλλαγή αυξάνει επίσης τη συχνότητα, την ένταση, την έκταση και τη διάρκεια των ξηρασιών σε πολλά μέρη του κόσμου. Σύμφωνα με τις προβλέψεις, οι ξηρασίες μπορεί να επηρεάσουν πάνω από τα τρία τέταρτα του παγκόσμιου πληθυσμού μέχρι το 2050. Διάφορες εκθέσεις του ΟΗΕ εκτιμούν ότι μέχρι το 2050, ένας συνδυασμός προβλημάτων και συγκρούσεων που σχετίζονται με το νερό και το κλίμα θα αναγκάσει περίπου ένα δισεκατομμύριο ανθρώπους να μεταναστεύσουν.</w:t>
      </w:r>
      <w:r w:rsidRPr="00A476B2">
        <w:t xml:space="preserve"> </w:t>
      </w:r>
    </w:p>
    <w:p w14:paraId="582279A5" w14:textId="5280784D" w:rsidR="00A476B2" w:rsidRDefault="00A476B2" w:rsidP="00A476B2">
      <w:pPr>
        <w:rPr>
          <w:lang w:val="en-US"/>
        </w:rPr>
      </w:pPr>
      <w:r>
        <w:t xml:space="preserve">Το νερό γίνεται όλο και περισσότερο όπλο από τις αντιμαχόμενες πλευρές, ιδιαίτερα στη Μέση Ανατολή. Η λειψυδρία και οι σχετικές εντάσεις και η </w:t>
      </w:r>
      <w:r>
        <w:t xml:space="preserve">χρήση του ως όπλο </w:t>
      </w:r>
      <w:r>
        <w:t xml:space="preserve">αποτελούν αυξανόμενη απειλή για τη διεθνή ειρήνη και σταθερότητα. Ωστόσο, το νερό θα μπορούσε να γίνει ένα μέσο ειρήνης και ανάπτυξης.  Ως εκ τούτου, απαιτείται συγκεκριμένη δράση </w:t>
      </w:r>
      <w:r w:rsidRPr="00A476B2">
        <w:rPr>
          <w:b/>
          <w:bCs/>
        </w:rPr>
        <w:t>γαλάζιας διπλωματίας</w:t>
      </w:r>
      <w:r>
        <w:t>.</w:t>
      </w:r>
      <w:r>
        <w:rPr>
          <w:lang w:val="en-US"/>
        </w:rPr>
        <w:t xml:space="preserve"> </w:t>
      </w:r>
    </w:p>
    <w:p w14:paraId="12D762E9" w14:textId="13A648AE" w:rsidR="00A476B2" w:rsidRDefault="00A476B2" w:rsidP="00A476B2">
      <w:r>
        <w:t xml:space="preserve">Η γαλάζια διπλωματία (επίσης γνωστή ως διπλωματία του νερού ή υδροηλεκτρική διπλωματία) έχει περιγραφεί ως μια «δυναμική, πολιτικά προσανατολισμένη διαδικασία που στοχεύει στην πρόληψη, </w:t>
      </w:r>
      <w:r>
        <w:t>σ</w:t>
      </w:r>
      <w:r>
        <w:t xml:space="preserve">τον μετριασμό και </w:t>
      </w:r>
      <w:r>
        <w:t>σ</w:t>
      </w:r>
      <w:r>
        <w:t>την επίλυση των εντάσεων που σχετίζονται με το νερό, κάνοντας ταυτόχρονη χρήση διπλωματικών εργαλείων, τεχνογνωσίας που σχετίζεται με το νερό και μηχανισμών συνεργασίας σε πολλαπλές διπλωματικές διαδρομές».</w:t>
      </w:r>
      <w:r w:rsidRPr="00A476B2">
        <w:t xml:space="preserve"> </w:t>
      </w:r>
    </w:p>
    <w:p w14:paraId="2E996752" w14:textId="0337E84C" w:rsidR="00A476B2" w:rsidRDefault="00A476B2" w:rsidP="00A476B2">
      <w:r>
        <w:lastRenderedPageBreak/>
        <w:t>Η πρόληψη των προβλημάτων και των εντάσεων που σχετίζονται με το νερό θα πρέπει να θεωρείται ως η σημαντικότερη δράση της γαλάζιας διπλωματίας. Είναι επίσης επιτακτική ανάγκη να αναπτυχθούν διεθνείς πολιτικές για την προώθηση της φειδωλής και αποδοτικής χρήσης των υδάτων σε όλους τους τομείς της οικονομίας και της κοινωνίας, για τη μείωση της ρύπανσης των υπόγειων και επιφανειακών υδάτων, καθώς και για την αποκατάσταση των μολυσμένων και υποβαθμισμένων υδάτων.</w:t>
      </w:r>
      <w:r w:rsidRPr="00A476B2">
        <w:t xml:space="preserve"> </w:t>
      </w:r>
    </w:p>
    <w:p w14:paraId="77D0E559" w14:textId="4D197FB6" w:rsidR="00A476B2" w:rsidRDefault="00A476B2" w:rsidP="00A476B2">
      <w:r>
        <w:t xml:space="preserve">Επιτρέψτε μου </w:t>
      </w:r>
      <w:r w:rsidR="00C84750">
        <w:t xml:space="preserve">να στρέψουμε την </w:t>
      </w:r>
      <w:r>
        <w:t>προσοχή</w:t>
      </w:r>
      <w:r w:rsidR="00C84750">
        <w:t xml:space="preserve"> μας</w:t>
      </w:r>
      <w:r>
        <w:t xml:space="preserve"> στην κοινή μας γειτονιά, </w:t>
      </w:r>
      <w:r w:rsidR="00C84750">
        <w:t>στ</w:t>
      </w:r>
      <w:r>
        <w:t xml:space="preserve">η Μεσόγειο και </w:t>
      </w:r>
      <w:r w:rsidR="00C84750">
        <w:t>σ</w:t>
      </w:r>
      <w:r>
        <w:t>την περιοχή της Μέσης Ανατολής και της Βόρειας Αφρικής.</w:t>
      </w:r>
      <w:r w:rsidRPr="00A476B2">
        <w:t xml:space="preserve"> </w:t>
      </w:r>
    </w:p>
    <w:p w14:paraId="66D76652" w14:textId="533DD999" w:rsidR="00A476B2" w:rsidRDefault="00A476B2" w:rsidP="00A476B2">
      <w:r>
        <w:t xml:space="preserve">Η περιοχή της Μεσογείου θερμαίνεται κατά 20% ταχύτερα από τον παγκόσμιο μέσο όρο και αντιμετωπίζει ήδη σημαντικές προκλήσεις που σχετίζονται με την λειψυδρία. Υπάρχουν εκτεταμένες ενδείξεις ότι η κλιματική αλλαγή θα επηρεάσει τη Μεσόγειο με διάφορους τρόπους, η αλιευτική βιομηχανία καθώς και η βιοποικιλότητα θα αμφισβητηθούν από χωροκατακτητικά είδη, η περιοχή θα γίνει ξηρότερη και θερμότερη και η ένταση των ακραίων φαινομένων και της ξηρασίας θα αυξηθεί. Τα μεσογειακά κράτη μέλη της ΕΕ απειλούνται όλο και περισσότερο από την </w:t>
      </w:r>
      <w:r w:rsidR="00C84750">
        <w:t>ερημοποίηση</w:t>
      </w:r>
      <w:r>
        <w:t>, πλήττοντας κυρίως τις παράκτιες και νησιωτικές περιοχές.</w:t>
      </w:r>
    </w:p>
    <w:p w14:paraId="4420C8F3" w14:textId="29858D86" w:rsidR="00A476B2" w:rsidRDefault="00A476B2" w:rsidP="00A476B2">
      <w:r>
        <w:t>Παρά τις σημαντικές</w:t>
      </w:r>
      <w:r w:rsidR="00C84750">
        <w:t xml:space="preserve"> περιφερειακές</w:t>
      </w:r>
      <w:r>
        <w:t xml:space="preserve"> διαφορές, ολόκληρη η περιοχή της Μέσης Ανατολής και της Βόρειας Αφρικής αντιμετωπίζει παρόμοιες προκλήσεις. Οι κινητήριες δυνάμεις των κινδύνων που σχετίζονται με το νερό στις χώρες αυτές είναι, μεταξύ άλλων, η αύξηση του πληθυσμού και της ζήτησης νερού, η κλιματική αλλαγή και τα απαρχαιωμένα συστήματα διαχείρισης των υδάτων.</w:t>
      </w:r>
    </w:p>
    <w:p w14:paraId="22633CC6" w14:textId="3CC3F1D2" w:rsidR="00A476B2" w:rsidRDefault="00A476B2" w:rsidP="00A476B2">
      <w:r>
        <w:t>Μεγάλες περιοχές της υποσαχάριας Αφρικής αντιμετωπίζουν σημαντικές προκλήσεις που σχετίζονται με την λειψυδρία. Η έλλειψη διεθνούς αντίδρασης είναι πιθανό να οδηγήσει σε μεταναστευτικά κύματα, ενδοκρατικές και διεθνείς συγκρούσεις.</w:t>
      </w:r>
    </w:p>
    <w:p w14:paraId="00D6EDF9" w14:textId="6B226AAC" w:rsidR="00A476B2" w:rsidRDefault="00A476B2" w:rsidP="00A476B2">
      <w:r>
        <w:t>Καθώς πολλές βιομηχανίες χρειάζονται νερό για να είναι παραγωγικές, π.χ. γεωργία και ενέργεια, η λειψυδρία μπορεί να θέσει σε κίνδυνο ολόκληρους οικονομικούς τομείς της Μεσογείου και των κρατών της Μέσης Ανατολής και της Βόρειας Αφρικής.</w:t>
      </w:r>
    </w:p>
    <w:p w14:paraId="67CE0E9A" w14:textId="4C11A1C8" w:rsidR="00A476B2" w:rsidRDefault="00A476B2" w:rsidP="00A476B2">
      <w:r>
        <w:t xml:space="preserve">Ο διασυνοριακός ποταμός Νείλος, </w:t>
      </w:r>
      <w:r w:rsidR="00C84750">
        <w:t xml:space="preserve">η </w:t>
      </w:r>
      <w:r>
        <w:t xml:space="preserve">Ιορδανία, </w:t>
      </w:r>
      <w:r w:rsidR="00C84750">
        <w:t xml:space="preserve">ο </w:t>
      </w:r>
      <w:r>
        <w:t>Ορόντης</w:t>
      </w:r>
      <w:r w:rsidR="00C84750">
        <w:t>, ο</w:t>
      </w:r>
      <w:r>
        <w:t xml:space="preserve"> Τίγρης-Ευφράτης και η λεκάνη της Νεκράς Θάλασσας έχουν προσελκύσει την παγκόσμια προσοχή λόγω διαφωνιών σχετικά με την κατανομή του νερού για πόση, άρδευση και παραγωγή ενέργειας. Οι διαφορές</w:t>
      </w:r>
      <w:r w:rsidR="00C84750">
        <w:t xml:space="preserve"> θέτουν</w:t>
      </w:r>
      <w:r>
        <w:t xml:space="preserve"> προκλήσεις </w:t>
      </w:r>
      <w:r w:rsidR="00C84750">
        <w:t>σ</w:t>
      </w:r>
      <w:r>
        <w:t>την περιφερειακή ειρήνη και σταθερότητα.</w:t>
      </w:r>
      <w:r w:rsidR="00C84750">
        <w:t xml:space="preserve"> </w:t>
      </w:r>
    </w:p>
    <w:p w14:paraId="61E94C25" w14:textId="515E6A53" w:rsidR="00A476B2" w:rsidRDefault="00A476B2" w:rsidP="00A476B2">
      <w:r>
        <w:t xml:space="preserve">Υπό το πρίσμα όλων αυτών, η ΕΕ θα πρέπει να εστιάσει τις προσπάθειές της στη γαλάζια διπλωματία και να την </w:t>
      </w:r>
      <w:r>
        <w:t>εξορθολογήσει</w:t>
      </w:r>
      <w:r>
        <w:t xml:space="preserve"> στην εξωτερική πολιτική και τις εξωτερικές σχέσεις της, συμπεριλαμβανομένων των πολιτικών γειτονίας, εμπορίου και ανάπτυξης.</w:t>
      </w:r>
    </w:p>
    <w:p w14:paraId="4E1B0567" w14:textId="77777777" w:rsidR="00A476B2" w:rsidRDefault="00A476B2" w:rsidP="00A476B2">
      <w:r>
        <w:t>Η ΕΕ θα πρέπει επίσης να αυξήσει την ευαισθητοποίηση σχετικά με τον κρίσιμο ρόλο του νερού και να κατανοήσει καλύτερα τις διασυνδέσεις μεταξύ των διαφόρων ρόλων του νερού και των αμοιβαίων εξαρτήσεων των διαφόρων παραγόντων. Ενώ ο πρωταρχικός στόχος της γαλάζιας διπλωματίας είναι η πρόληψη των εντάσεων και των συγκρούσεων που σχετίζονται με το νερό, υπάρχει προφανής ανάγκη η ΕΕ να συμβάλει ταυτόχρονα στην επίλυση των συγκρούσεων.</w:t>
      </w:r>
    </w:p>
    <w:p w14:paraId="26D37665" w14:textId="6379F1D6" w:rsidR="00A476B2" w:rsidRDefault="00A476B2" w:rsidP="00A476B2">
      <w:r>
        <w:t xml:space="preserve">Η γαλάζια διπλωματία θα πρέπει να αναπτύξει στρατηγικές προτεραιότητες σε περιοχές όπου αφθονούν η λειψυδρία και οι συγκρούσεις που σχετίζονται με το νερό, όπως η Μεσόγειος και η περιοχή της Μέσης Ανατολής και της Βόρειας Αφρικής, όπου τόσο τα κράτη μέλη της ΕΕ όσο και τα κράτη εκτός ΕΕ αντιμετωπίζουν πρωτοφανείς προκλήσεις που σχετίζονται με το νερό. Είναι σημαντικό η Γαλάζια Συμφωνία να αναπτύξει μια σαφή μεσογειακή διάσταση και να δώσει έμφαση στη σχετική με το νερό περιοχή της Μέσης Ανατολής και της Βόρειας Αφρικής, δεδομένης της οξείας φύσης της λειψυδρίας. Η γαλάζια διπλωματία θα πρέπει επίσης να δώσει ιδιαίτερη προσοχή στην κατάσταση στην υποσαχάρια Αφρική, ιδίως στις γειτονικές περιοχές του Σαχέλ, στο Κέρας της Αφρικής, στις διασυνοριακές λεκάνες </w:t>
      </w:r>
      <w:r>
        <w:lastRenderedPageBreak/>
        <w:t>απορροής ποταμών του Νείλου, του Νίγηρα και του Κονγκό, στις διασυνοριακές λεκάνες απορροής των Μεγάλων Λιμνών και της λίμνης Τσαντ, και να αναπτύξει προορατικά εργαλεία για την πρόληψη της αύξησης των μεταναστευτικών ροών προς την Ευρωπαϊκή Ένωση λόγω της κρίσης των υδάτων.</w:t>
      </w:r>
    </w:p>
    <w:p w14:paraId="3B7297C6" w14:textId="77777777" w:rsidR="00A476B2" w:rsidRDefault="00A476B2" w:rsidP="00A476B2">
      <w:r>
        <w:t>Σας ευχαριστώ πολύ για την προσοχή σας.</w:t>
      </w:r>
    </w:p>
    <w:p w14:paraId="4AB61B53" w14:textId="1B82C9AB" w:rsidR="009E1945" w:rsidRPr="00A476B2" w:rsidRDefault="009E1945" w:rsidP="00A476B2"/>
    <w:sectPr w:rsidR="009E1945" w:rsidRPr="00A476B2" w:rsidSect="001F61C5">
      <w:headerReference w:type="default" r:id="rId8"/>
      <w:footerReference w:type="default" r:id="rId9"/>
      <w:headerReference w:type="first" r:id="rId10"/>
      <w:footerReference w:type="first" r:id="rId11"/>
      <w:type w:val="continuous"/>
      <w:pgSz w:w="11906" w:h="16838"/>
      <w:pgMar w:top="1440" w:right="1800" w:bottom="144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5E2C4" w14:textId="77777777" w:rsidR="009F4740" w:rsidRDefault="009F4740" w:rsidP="00A5663B">
      <w:pPr>
        <w:spacing w:after="0" w:line="240" w:lineRule="auto"/>
      </w:pPr>
      <w:r>
        <w:separator/>
      </w:r>
    </w:p>
    <w:p w14:paraId="7AB96120" w14:textId="77777777" w:rsidR="009F4740" w:rsidRDefault="009F4740"/>
  </w:endnote>
  <w:endnote w:type="continuationSeparator" w:id="0">
    <w:p w14:paraId="2B90A31B" w14:textId="77777777" w:rsidR="009F4740" w:rsidRDefault="009F4740" w:rsidP="00A5663B">
      <w:pPr>
        <w:spacing w:after="0" w:line="240" w:lineRule="auto"/>
      </w:pPr>
      <w:r>
        <w:continuationSeparator/>
      </w:r>
    </w:p>
    <w:p w14:paraId="66CE18AD" w14:textId="77777777" w:rsidR="009F4740" w:rsidRDefault="009F47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913188"/>
      <w:lock w:val="contentLocked"/>
      <w:group/>
    </w:sdtPr>
    <w:sdtContent>
      <w:p w14:paraId="7BCFA084" w14:textId="77777777" w:rsidR="0076008A" w:rsidRDefault="0076008A" w:rsidP="00CD7803">
        <w:pPr>
          <w:pStyle w:val="a6"/>
          <w:ind w:left="-1797"/>
        </w:pPr>
        <w:r w:rsidRPr="00912718">
          <w:rPr>
            <w:noProof/>
          </w:rPr>
          <w:drawing>
            <wp:inline distT="0" distB="0" distL="0" distR="0" wp14:anchorId="24B0B5B3" wp14:editId="2A376879">
              <wp:extent cx="7560000" cy="961200"/>
              <wp:effectExtent l="0" t="0" r="3175" b="0"/>
              <wp:docPr id="58" name="Εικόνα 58"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749343"/>
      <w:lock w:val="contentLocked"/>
      <w:group/>
    </w:sdtPr>
    <w:sdtContent>
      <w:sdt>
        <w:sdtPr>
          <w:id w:val="1683634910"/>
          <w:lock w:val="sdtContentLocked"/>
          <w:group/>
        </w:sdtPr>
        <w:sdtContent>
          <w:p w14:paraId="71D9DFAC" w14:textId="77777777" w:rsidR="00FE6402" w:rsidRDefault="00FE6402" w:rsidP="00FE6402">
            <w:pPr>
              <w:pStyle w:val="a6"/>
              <w:ind w:left="-1797"/>
            </w:pPr>
            <w:r w:rsidRPr="00912718">
              <w:rPr>
                <w:noProof/>
              </w:rPr>
              <w:drawing>
                <wp:inline distT="0" distB="0" distL="0" distR="0" wp14:anchorId="7F9B4255" wp14:editId="024CC060">
                  <wp:extent cx="7560000" cy="961200"/>
                  <wp:effectExtent l="0" t="0" r="3175" b="0"/>
                  <wp:docPr id="60" name="Εικόνα 60"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D450C" w14:textId="77777777" w:rsidR="009F4740" w:rsidRDefault="009F4740" w:rsidP="00A5663B">
      <w:pPr>
        <w:spacing w:after="0" w:line="240" w:lineRule="auto"/>
      </w:pPr>
      <w:bookmarkStart w:id="0" w:name="_Hlk484772647"/>
      <w:bookmarkEnd w:id="0"/>
      <w:r>
        <w:separator/>
      </w:r>
    </w:p>
    <w:p w14:paraId="2A6E92A3" w14:textId="77777777" w:rsidR="009F4740" w:rsidRDefault="009F4740"/>
  </w:footnote>
  <w:footnote w:type="continuationSeparator" w:id="0">
    <w:p w14:paraId="5BD63046" w14:textId="77777777" w:rsidR="009F4740" w:rsidRDefault="009F4740" w:rsidP="00A5663B">
      <w:pPr>
        <w:spacing w:after="0" w:line="240" w:lineRule="auto"/>
      </w:pPr>
      <w:r>
        <w:continuationSeparator/>
      </w:r>
    </w:p>
    <w:p w14:paraId="4306C4B9" w14:textId="77777777" w:rsidR="009F4740" w:rsidRDefault="009F47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3160"/>
      <w:lock w:val="contentLocked"/>
      <w:group/>
    </w:sdtPr>
    <w:sdtContent>
      <w:sdt>
        <w:sdtPr>
          <w:id w:val="-262458446"/>
          <w:lock w:val="sdtContentLocked"/>
          <w:group/>
        </w:sdtPr>
        <w:sdtContent>
          <w:p w14:paraId="1BE0A2C6" w14:textId="77777777" w:rsidR="001F61C5" w:rsidRDefault="001F61C5">
            <w:pPr>
              <w:pStyle w:val="a5"/>
              <w:spacing w:before="480"/>
              <w:divId w:val="1478960766"/>
              <w:rPr>
                <w:rFonts w:asciiTheme="minorHAnsi" w:hAnsiTheme="minorHAnsi"/>
                <w:color w:val="auto"/>
              </w:rPr>
            </w:pPr>
          </w:p>
          <w:sdt>
            <w:sdtPr>
              <w:id w:val="1739744541"/>
              <w:lock w:val="contentLocked"/>
              <w:group/>
            </w:sdtPr>
            <w:sdtContent>
              <w:p w14:paraId="13D14253" w14:textId="77777777" w:rsidR="0076008A" w:rsidRPr="001F61C5" w:rsidRDefault="001F61C5" w:rsidP="001F61C5">
                <w:pPr>
                  <w:pStyle w:val="a5"/>
                  <w:pBdr>
                    <w:right w:val="single" w:sz="18" w:space="4" w:color="008000"/>
                  </w:pBdr>
                  <w:ind w:left="-1800"/>
                  <w:jc w:val="right"/>
                  <w:divId w:val="1478960766"/>
                </w:pPr>
                <w:r>
                  <w:fldChar w:fldCharType="begin"/>
                </w:r>
                <w:r>
                  <w:instrText>PAGE   \* MERGEFORMAT</w:instrText>
                </w:r>
                <w:r>
                  <w:fldChar w:fldCharType="separate"/>
                </w:r>
                <w:r>
                  <w:t>2</w:t>
                </w:r>
                <w:r>
                  <w:fldChar w:fldCharType="end"/>
                </w:r>
              </w:p>
            </w:sdtContent>
          </w:sdt>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819182147"/>
      <w:lock w:val="sdtContentLocked"/>
      <w:group/>
    </w:sdtPr>
    <w:sdtContent>
      <w:p w14:paraId="32012197" w14:textId="77777777" w:rsidR="00FE6402" w:rsidRPr="00FE6402" w:rsidRDefault="00FE6402" w:rsidP="00FE6402">
        <w:pPr>
          <w:pStyle w:val="a5"/>
          <w:ind w:left="-1800"/>
          <w:rPr>
            <w:lang w:val="en-US"/>
          </w:rPr>
        </w:pPr>
        <w:r>
          <w:rPr>
            <w:noProof/>
            <w:lang w:eastAsia="el-GR"/>
          </w:rPr>
          <w:drawing>
            <wp:inline distT="0" distB="0" distL="0" distR="0" wp14:anchorId="2AAFB8A2" wp14:editId="324AEE0D">
              <wp:extent cx="7560000" cy="1440000"/>
              <wp:effectExtent l="0" t="0" r="3175" b="0"/>
              <wp:docPr id="59" name="Εικόνα 59"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3"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34550430">
    <w:abstractNumId w:val="5"/>
  </w:num>
  <w:num w:numId="2" w16cid:durableId="570316819">
    <w:abstractNumId w:val="5"/>
  </w:num>
  <w:num w:numId="3" w16cid:durableId="732193417">
    <w:abstractNumId w:val="5"/>
  </w:num>
  <w:num w:numId="4" w16cid:durableId="1203326910">
    <w:abstractNumId w:val="5"/>
  </w:num>
  <w:num w:numId="5" w16cid:durableId="1284115772">
    <w:abstractNumId w:val="5"/>
  </w:num>
  <w:num w:numId="6" w16cid:durableId="1789423285">
    <w:abstractNumId w:val="5"/>
  </w:num>
  <w:num w:numId="7" w16cid:durableId="1945258299">
    <w:abstractNumId w:val="5"/>
  </w:num>
  <w:num w:numId="8" w16cid:durableId="1504391305">
    <w:abstractNumId w:val="5"/>
  </w:num>
  <w:num w:numId="9" w16cid:durableId="1227835424">
    <w:abstractNumId w:val="5"/>
  </w:num>
  <w:num w:numId="10" w16cid:durableId="2082560906">
    <w:abstractNumId w:val="4"/>
  </w:num>
  <w:num w:numId="11" w16cid:durableId="1170218629">
    <w:abstractNumId w:val="3"/>
  </w:num>
  <w:num w:numId="12" w16cid:durableId="65037018">
    <w:abstractNumId w:val="2"/>
  </w:num>
  <w:num w:numId="13" w16cid:durableId="1728991089">
    <w:abstractNumId w:val="1"/>
  </w:num>
  <w:num w:numId="14" w16cid:durableId="925187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AE8"/>
    <w:rsid w:val="00011187"/>
    <w:rsid w:val="000145EC"/>
    <w:rsid w:val="00016434"/>
    <w:rsid w:val="00016AD6"/>
    <w:rsid w:val="000224C1"/>
    <w:rsid w:val="000319B3"/>
    <w:rsid w:val="0003631E"/>
    <w:rsid w:val="0008214A"/>
    <w:rsid w:val="000864B5"/>
    <w:rsid w:val="00091240"/>
    <w:rsid w:val="000A5463"/>
    <w:rsid w:val="000B7AE8"/>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439E"/>
    <w:rsid w:val="001F1161"/>
    <w:rsid w:val="001F61C5"/>
    <w:rsid w:val="002058AF"/>
    <w:rsid w:val="002251AF"/>
    <w:rsid w:val="00236A27"/>
    <w:rsid w:val="00255DD0"/>
    <w:rsid w:val="002570E4"/>
    <w:rsid w:val="00264E1B"/>
    <w:rsid w:val="0026597B"/>
    <w:rsid w:val="0027672E"/>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C0C12"/>
    <w:rsid w:val="003D4D14"/>
    <w:rsid w:val="003D73D0"/>
    <w:rsid w:val="003E38C4"/>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B76BF"/>
    <w:rsid w:val="004D0BE2"/>
    <w:rsid w:val="004D5A2F"/>
    <w:rsid w:val="00501973"/>
    <w:rsid w:val="005077D6"/>
    <w:rsid w:val="00517354"/>
    <w:rsid w:val="0052064A"/>
    <w:rsid w:val="00523EAA"/>
    <w:rsid w:val="00540ED2"/>
    <w:rsid w:val="00547D78"/>
    <w:rsid w:val="00573B0A"/>
    <w:rsid w:val="0058273F"/>
    <w:rsid w:val="00583700"/>
    <w:rsid w:val="00584C89"/>
    <w:rsid w:val="00585F7F"/>
    <w:rsid w:val="005956CD"/>
    <w:rsid w:val="005B00C5"/>
    <w:rsid w:val="005B6534"/>
    <w:rsid w:val="005B661B"/>
    <w:rsid w:val="005C06B9"/>
    <w:rsid w:val="005C5A0B"/>
    <w:rsid w:val="005D05EE"/>
    <w:rsid w:val="005D2B1C"/>
    <w:rsid w:val="005D30F3"/>
    <w:rsid w:val="005D44A7"/>
    <w:rsid w:val="005F5A54"/>
    <w:rsid w:val="00610A7E"/>
    <w:rsid w:val="00612214"/>
    <w:rsid w:val="00617AC0"/>
    <w:rsid w:val="0063216C"/>
    <w:rsid w:val="00642AA7"/>
    <w:rsid w:val="00647299"/>
    <w:rsid w:val="00651CD5"/>
    <w:rsid w:val="006604D1"/>
    <w:rsid w:val="0066741D"/>
    <w:rsid w:val="006A52F5"/>
    <w:rsid w:val="006A785A"/>
    <w:rsid w:val="006C0BA4"/>
    <w:rsid w:val="006D0554"/>
    <w:rsid w:val="006E692F"/>
    <w:rsid w:val="006E6B93"/>
    <w:rsid w:val="006F050F"/>
    <w:rsid w:val="006F68D0"/>
    <w:rsid w:val="0072145A"/>
    <w:rsid w:val="00731C83"/>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C24EF"/>
    <w:rsid w:val="008F4A49"/>
    <w:rsid w:val="00906FB5"/>
    <w:rsid w:val="009324B1"/>
    <w:rsid w:val="00936BAC"/>
    <w:rsid w:val="009503E0"/>
    <w:rsid w:val="00953909"/>
    <w:rsid w:val="00972E62"/>
    <w:rsid w:val="00980425"/>
    <w:rsid w:val="00992CBF"/>
    <w:rsid w:val="00995C38"/>
    <w:rsid w:val="009A4192"/>
    <w:rsid w:val="009B3183"/>
    <w:rsid w:val="009C06F7"/>
    <w:rsid w:val="009C4D45"/>
    <w:rsid w:val="009C718E"/>
    <w:rsid w:val="009E1945"/>
    <w:rsid w:val="009E6773"/>
    <w:rsid w:val="009F4740"/>
    <w:rsid w:val="00A04D49"/>
    <w:rsid w:val="00A0512E"/>
    <w:rsid w:val="00A12240"/>
    <w:rsid w:val="00A24A4D"/>
    <w:rsid w:val="00A32253"/>
    <w:rsid w:val="00A35350"/>
    <w:rsid w:val="00A476B2"/>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4750"/>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065B2"/>
    <w:rsid w:val="00D11B9D"/>
    <w:rsid w:val="00D14800"/>
    <w:rsid w:val="00D342CB"/>
    <w:rsid w:val="00D35A4C"/>
    <w:rsid w:val="00D4303F"/>
    <w:rsid w:val="00D43376"/>
    <w:rsid w:val="00D4455A"/>
    <w:rsid w:val="00D7519B"/>
    <w:rsid w:val="00DA0B8B"/>
    <w:rsid w:val="00DA50E4"/>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22F5"/>
    <w:rsid w:val="00E9293A"/>
    <w:rsid w:val="00EE0F94"/>
    <w:rsid w:val="00EE6171"/>
    <w:rsid w:val="00EE65BD"/>
    <w:rsid w:val="00EF66B1"/>
    <w:rsid w:val="00F02B8E"/>
    <w:rsid w:val="00F0652A"/>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 w:val="00FE64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3F7AE"/>
  <w15:docId w15:val="{896C3A51-F734-467C-A119-48C81397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96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W:\&#928;&#929;&#927;&#932;&#933;&#928;&#913;%20&#917;&#928;&#921;&#931;&#932;&#927;&#923;&#927;&#935;&#913;&#929;&#932;&#913;%20&#917;&#931;&#913;&#924;&#917;&#913;\&#913;&#916;&#917;&#921;&#927;-20180624.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60EF3FA-DC34-43E7-81E3-455DFAA61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ΑΔΕΙΟ-20180624.dotx</Template>
  <TotalTime>2</TotalTime>
  <Pages>3</Pages>
  <Words>1171</Words>
  <Characters>6329</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Επιστολόχαρτο (Web)</vt:lpstr>
    </vt:vector>
  </TitlesOfParts>
  <Company>Εθνική Συνομοσπονδία Ατόμων με Αναπηρία (ΕΣΑμεΑ)</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 (Web)</dc:title>
  <dc:creator>tkatsani</dc:creator>
  <cp:lastModifiedBy>tania</cp:lastModifiedBy>
  <cp:revision>3</cp:revision>
  <cp:lastPrinted>2017-05-26T15:11:00Z</cp:lastPrinted>
  <dcterms:created xsi:type="dcterms:W3CDTF">2023-06-28T10:59:00Z</dcterms:created>
  <dcterms:modified xsi:type="dcterms:W3CDTF">2023-06-28T11:00:00Z</dcterms:modified>
  <cp:contentStatus/>
  <dc:language>Ελληνικά</dc:language>
  <cp:version>am-20180624</cp:version>
</cp:coreProperties>
</file>