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2FC17" w14:textId="77777777" w:rsidR="00C36CF3" w:rsidRPr="00C36CF3" w:rsidRDefault="00C36CF3" w:rsidP="00C36CF3">
      <w:pPr>
        <w:jc w:val="center"/>
        <w:rPr>
          <w:b/>
          <w:bCs/>
        </w:rPr>
      </w:pPr>
      <w:r w:rsidRPr="00C36CF3">
        <w:rPr>
          <w:b/>
          <w:bCs/>
        </w:rPr>
        <w:t xml:space="preserve">Ομιλία Ι. Βαρδακαστάνη </w:t>
      </w:r>
      <w:r w:rsidRPr="00C36CF3">
        <w:rPr>
          <w:b/>
          <w:bCs/>
        </w:rPr>
        <w:t>«Επόμενη γενιά ιδίων πόρων για τον προϋπολογισμό της ΕΕ»:</w:t>
      </w:r>
    </w:p>
    <w:p w14:paraId="412143E0" w14:textId="2D0DCE28" w:rsidR="00C36CF3" w:rsidRDefault="00C36CF3" w:rsidP="00C36CF3"/>
    <w:p w14:paraId="632465BD" w14:textId="174B5C51" w:rsidR="00C36CF3" w:rsidRDefault="00C36CF3" w:rsidP="00C36CF3">
      <w:r>
        <w:t xml:space="preserve">Αγαπητέ Ευρωβουλευτή </w:t>
      </w:r>
      <w:proofErr w:type="spellStart"/>
      <w:r>
        <w:t>José</w:t>
      </w:r>
      <w:proofErr w:type="spellEnd"/>
      <w:r>
        <w:t xml:space="preserve"> </w:t>
      </w:r>
      <w:proofErr w:type="spellStart"/>
      <w:r>
        <w:t>Manuel</w:t>
      </w:r>
      <w:proofErr w:type="spellEnd"/>
      <w:r>
        <w:t xml:space="preserve"> </w:t>
      </w:r>
      <w:proofErr w:type="spellStart"/>
      <w:r>
        <w:t>Fernandes</w:t>
      </w:r>
      <w:proofErr w:type="spellEnd"/>
      <w:r>
        <w:t>,</w:t>
      </w:r>
    </w:p>
    <w:p w14:paraId="065FE705" w14:textId="77777777" w:rsidR="00C36CF3" w:rsidRDefault="00C36CF3" w:rsidP="00C36CF3">
      <w:r>
        <w:t xml:space="preserve">Αγαπητέ αναπληρωτή προϊστάμενε Μονάδας Πολιτικής Εσόδων και Νέων Ιδίων Πόρων, </w:t>
      </w:r>
      <w:proofErr w:type="spellStart"/>
      <w:r>
        <w:t>Claudius</w:t>
      </w:r>
      <w:proofErr w:type="spellEnd"/>
      <w:r>
        <w:t xml:space="preserve"> </w:t>
      </w:r>
      <w:proofErr w:type="spellStart"/>
      <w:r>
        <w:t>Schmidt-Faber</w:t>
      </w:r>
      <w:proofErr w:type="spellEnd"/>
      <w:r>
        <w:t>,</w:t>
      </w:r>
    </w:p>
    <w:p w14:paraId="282E58C0" w14:textId="77777777" w:rsidR="00C36CF3" w:rsidRDefault="00C36CF3" w:rsidP="00C36CF3">
      <w:r>
        <w:t>Αγαπητά μέλη του τμήματος ECO,</w:t>
      </w:r>
    </w:p>
    <w:p w14:paraId="150F7E7E" w14:textId="77777777" w:rsidR="00C36CF3" w:rsidRDefault="00C36CF3" w:rsidP="00C36CF3">
      <w:r>
        <w:t>Αγαπητές κυρίες και κύριοι, που μας παρακολουθείτε στο διαδίκτυο,</w:t>
      </w:r>
    </w:p>
    <w:p w14:paraId="0E7458DB" w14:textId="77777777" w:rsidR="00C36CF3" w:rsidRDefault="00C36CF3" w:rsidP="00C36CF3">
      <w:r>
        <w:t>Είμαι στην ευχάριστη θέση να σας καλωσορίσω στην τρίτη συζήτηση υψηλού επιπέδου που διεξάγουμε φέτος σε μια συνεδρίαση του τμήματος ECO σχετικά με τον πολυετή προϋπολογισμό της Ευρωπαϊκής Ένωσης, μετά από εκείνες που πραγματοποιήθηκαν στις 30 Μαΐου και στις 8 Σεπτεμβρίου. Αυτό αντικατοπτρίζει τη μεγάλη σημασία αυτού του τομέα στην τρέχουσα πολιτική συζήτηση.</w:t>
      </w:r>
    </w:p>
    <w:p w14:paraId="20817C10" w14:textId="77777777" w:rsidR="00C36CF3" w:rsidRDefault="00C36CF3" w:rsidP="00C36CF3">
      <w:r>
        <w:t xml:space="preserve">Σήμερα, για άλλη μια φορά, δεν εξετάζουμε το είδος των δαπανών, δηλαδή για ποιο σκοπό δαπανώνται τα χρήματα του προϋπολογισμού της ΕΕ. Εξετάζουμε το σκέλος των εσόδων του προϋπολογισμού της ΕΕ, επομένως από πού προέρχονται τα χρήματα. Όπως όλοι γνωρίζετε, το ισχύον σύστημα βασίζεται σε μεγάλο βαθμό στις συνεισφορές των κρατών μελών βάσει του ακαθάριστου εθνικού εισοδήματός τους. </w:t>
      </w:r>
    </w:p>
    <w:p w14:paraId="228135A0" w14:textId="77777777" w:rsidR="00C36CF3" w:rsidRDefault="00C36CF3" w:rsidP="00C36CF3">
      <w:r>
        <w:t xml:space="preserve">Η ΕΟΚΕ ανέκαθεν τασσόταν έντονα υπέρ της μετάβασης σε πιο γνήσιους ιδίους πόρους ως πηγές εσόδων. Από τη μία πλευρά, αυτό θα βοηθούσε να απομακρυνθούμε από την εστίαση στα καθαρά υπόλοιπα όσον αφορά στις συνεισφορές των κρατών μελών, η οποία είναι τόσο επιζήμια για την ευρωπαϊκή ολοκλήρωση. Και από την άλλη πλευρά, η είσπραξη χρημάτων θα μπορούσε να γίνεται όλο και περισσότερο κατά τρόπο που να υποστηρίζει επίσης τις πολιτικές προτεραιότητες της Ένωσης. </w:t>
      </w:r>
    </w:p>
    <w:p w14:paraId="51F2FD5C" w14:textId="77777777" w:rsidR="00C36CF3" w:rsidRDefault="00C36CF3" w:rsidP="00C36CF3">
      <w:r>
        <w:t xml:space="preserve">Οι πρόσφατες προτάσεις που υπέβαλε η Επιτροπή εντάσσονται στο πλαίσιο της στήριξης της πράσινης μετάβασης και της δημιουργίας πιο ισότιμων όρων ανταγωνισμού με τους εμπορικούς εταίρους τρίτων χωρών. </w:t>
      </w:r>
    </w:p>
    <w:p w14:paraId="71EEA223" w14:textId="77777777" w:rsidR="00C36CF3" w:rsidRDefault="00C36CF3" w:rsidP="00C36CF3">
      <w:r>
        <w:t>Επιτρέψτε μου να θέσω γρήγορα το πλαίσιο:</w:t>
      </w:r>
    </w:p>
    <w:p w14:paraId="6ACF123F" w14:textId="77777777" w:rsidR="00C36CF3" w:rsidRDefault="00C36CF3" w:rsidP="00C36CF3">
      <w:r>
        <w:t xml:space="preserve">Στις 22 Δεκεμβρίου 2021, η Επιτροπή πρότεινε τρεις νέες πηγές εσόδων για τον προϋπολογισμό της ΕΕ: </w:t>
      </w:r>
    </w:p>
    <w:p w14:paraId="24FBECB4" w14:textId="7CC2C8C8" w:rsidR="00C36CF3" w:rsidRDefault="00C36CF3" w:rsidP="00C36CF3">
      <w:pPr>
        <w:pStyle w:val="a9"/>
        <w:numPr>
          <w:ilvl w:val="0"/>
          <w:numId w:val="15"/>
        </w:numPr>
      </w:pPr>
      <w:r>
        <w:t>Ίδιος πόρος του συστήματος εμπορίας εκπομπών.</w:t>
      </w:r>
    </w:p>
    <w:p w14:paraId="6FB48BEE" w14:textId="51AD3239" w:rsidR="00C36CF3" w:rsidRDefault="00C36CF3" w:rsidP="00C36CF3">
      <w:pPr>
        <w:pStyle w:val="a9"/>
        <w:numPr>
          <w:ilvl w:val="0"/>
          <w:numId w:val="15"/>
        </w:numPr>
      </w:pPr>
      <w:r>
        <w:t>Ίδιος πόρος του μηχανισμού συνοριακής προσαρμογής άνθρακα (CBAM).</w:t>
      </w:r>
    </w:p>
    <w:p w14:paraId="7C6921CB" w14:textId="6B800436" w:rsidR="00C36CF3" w:rsidRDefault="00C36CF3" w:rsidP="00C36CF3">
      <w:pPr>
        <w:pStyle w:val="a9"/>
        <w:numPr>
          <w:ilvl w:val="0"/>
          <w:numId w:val="15"/>
        </w:numPr>
      </w:pPr>
      <w:r>
        <w:t>Ένας ίδιος πόρος που βασίζεται στα ανακατανεμημένα κέρδη των πολύ μεγάλων πολυεθνικών εταιρειών.</w:t>
      </w:r>
    </w:p>
    <w:p w14:paraId="68425E28" w14:textId="77777777" w:rsidR="00C36CF3" w:rsidRDefault="00C36CF3" w:rsidP="00C36CF3">
      <w:r>
        <w:t xml:space="preserve">Στη συνέχεια, στις 20 Ιουνίου 2023, η Επιτροπή ολοκλήρωσε την πρότασή της για μια επόμενη γενιά ιδίων πόρων, με έναν προσωρινό ίδιο πόρο βάσει στατιστικών στοιχείων επί των κερδών των εταιρειών: Αυτός ο νέος στατιστικός ίδιος πόρος που βασίζεται στα κέρδη των εταιρειών υποτίθεται ότι θα είναι προσωρινός και θα αντικατασταθεί από πιθανή συνεισφορά του Business in Europe: </w:t>
      </w:r>
      <w:proofErr w:type="spellStart"/>
      <w:r>
        <w:t>Framework</w:t>
      </w:r>
      <w:proofErr w:type="spellEnd"/>
      <w:r>
        <w:t xml:space="preserve"> for </w:t>
      </w:r>
      <w:proofErr w:type="spellStart"/>
      <w:r>
        <w:t>Income</w:t>
      </w:r>
      <w:proofErr w:type="spellEnd"/>
      <w:r>
        <w:t xml:space="preserve"> </w:t>
      </w:r>
      <w:proofErr w:type="spellStart"/>
      <w:r>
        <w:t>Taxation</w:t>
      </w:r>
      <w:proofErr w:type="spellEnd"/>
      <w:r>
        <w:t xml:space="preserve"> (BEFIT), αφού προταθεί και εγκριθεί ομόφωνα από όλα τα κράτη μέλη.</w:t>
      </w:r>
    </w:p>
    <w:p w14:paraId="552316A5" w14:textId="77777777" w:rsidR="00C36CF3" w:rsidRDefault="00C36CF3" w:rsidP="00C36CF3">
      <w:r>
        <w:t xml:space="preserve">Όλοι οι δυνητικοί ίδιοι πόροι που ανέφερα παραπάνω συζητούνται επί του παρόντος από τα κράτη μέλη, τα οποία τελικά πρέπει να συμφωνήσουν ομόφωνα. Θα ήθελα να ζητήσω από τους δύο προσκεκλημένους μας σήμερα να μας πουν λίγα περισσότερα σχετικά με το πού βρισκόμαστε και ποιες είναι οι προοπτικές επίτευξης συμφωνίας σχετικά με τις διάφορες προτάσεις. </w:t>
      </w:r>
    </w:p>
    <w:p w14:paraId="3E28AA48" w14:textId="77777777" w:rsidR="00C36CF3" w:rsidRDefault="00C36CF3" w:rsidP="00C36CF3">
      <w:r>
        <w:lastRenderedPageBreak/>
        <w:t>Η μόνη πραγματική καινοτομία στον τομέα των ιδίων πόρων είναι μια νέα πηγή εσόδων για τον προϋπολογισμό της ΕΕ, με βάση τα μη ανακυκλωμένα απορρίμματα πλαστικών συσκευασιών. Η εν λόγω πρόταση της Επιτροπής εγκρίθηκε από τα κράτη μέλη και έχει τεθεί σε ισχύ από την 1η Ιανουαρίου 2021. Συνίσταται σε εθνική συνεισφορά με βάση την ποσότητα των μη ανακυκλωμένων απορριμμάτων πλαστικών συσκευασιών.</w:t>
      </w:r>
    </w:p>
    <w:p w14:paraId="1F78ED27" w14:textId="77777777" w:rsidR="00C36CF3" w:rsidRDefault="00C36CF3" w:rsidP="00C36CF3">
      <w:r>
        <w:t xml:space="preserve">Επιστρέφοντας στη συζήτησή μας σήμερα: </w:t>
      </w:r>
    </w:p>
    <w:p w14:paraId="7D2EC6CF" w14:textId="77777777" w:rsidR="00C36CF3" w:rsidRDefault="00C36CF3" w:rsidP="00C36CF3">
      <w:r>
        <w:t xml:space="preserve">Το Συμβούλιο και η Επιτροπή ζήτησαν τη γνώμη της ΕΟΚΕ σχετικά με τον βασιζόμενο σε στατιστικά στοιχεία ίδιο πόρο επί των κερδών των εταιρειών που προτάθηκε τον Ιούνιο του τρέχοντος έτους. Το σχολιάζουμε στη γνωμοδότηση που θα εγκριθεί σήμερα στο πλαίσιο αυτής της συζήτησης, την οποία εκπόνησαν οι εισηγητές μας </w:t>
      </w:r>
      <w:proofErr w:type="spellStart"/>
      <w:r>
        <w:t>Katrina</w:t>
      </w:r>
      <w:proofErr w:type="spellEnd"/>
      <w:r>
        <w:t xml:space="preserve"> </w:t>
      </w:r>
      <w:proofErr w:type="spellStart"/>
      <w:r>
        <w:t>Zarina</w:t>
      </w:r>
      <w:proofErr w:type="spellEnd"/>
      <w:r>
        <w:t xml:space="preserve"> και </w:t>
      </w:r>
      <w:proofErr w:type="spellStart"/>
      <w:r>
        <w:t>Philip</w:t>
      </w:r>
      <w:proofErr w:type="spellEnd"/>
      <w:r>
        <w:t xml:space="preserve"> </w:t>
      </w:r>
      <w:proofErr w:type="spellStart"/>
      <w:r>
        <w:t>von</w:t>
      </w:r>
      <w:proofErr w:type="spellEnd"/>
      <w:r>
        <w:t xml:space="preserve"> </w:t>
      </w:r>
      <w:proofErr w:type="spellStart"/>
      <w:r>
        <w:t>Brockdorff</w:t>
      </w:r>
      <w:proofErr w:type="spellEnd"/>
      <w:r>
        <w:t xml:space="preserve">. </w:t>
      </w:r>
    </w:p>
    <w:p w14:paraId="068DE4A5" w14:textId="77777777" w:rsidR="00C36CF3" w:rsidRDefault="00C36CF3" w:rsidP="00C36CF3">
      <w:r>
        <w:t>Αλλά, φυσικά, όταν μιλάμε για ιδίους πόρους, πρέπει να δούμε την ευρύτερη εικόνα και επίσης να σκεφτούμε άλλες πιθανές πηγές εσόδων.</w:t>
      </w:r>
    </w:p>
    <w:p w14:paraId="0C8941B8" w14:textId="77777777" w:rsidR="00C36CF3" w:rsidRDefault="00C36CF3" w:rsidP="00C36CF3">
      <w:r>
        <w:t xml:space="preserve">Θα ήθελα επίσης να σας υπενθυμίσω ότι η Επιτροπή, προτού υποβάλει την τελευταία νομοθετική της πρόταση, είχε ζητήσει τη γνώμη της ΕΟΚΕ σχετικά με ιδέες για νέους ιδίους πόρους. Σε γνωμοδότηση που καταρτίστηκε επίσης από τον </w:t>
      </w:r>
      <w:proofErr w:type="spellStart"/>
      <w:r>
        <w:t>Philip</w:t>
      </w:r>
      <w:proofErr w:type="spellEnd"/>
      <w:r>
        <w:t xml:space="preserve"> </w:t>
      </w:r>
      <w:proofErr w:type="spellStart"/>
      <w:r>
        <w:t>von</w:t>
      </w:r>
      <w:proofErr w:type="spellEnd"/>
      <w:r>
        <w:t xml:space="preserve"> </w:t>
      </w:r>
      <w:proofErr w:type="spellStart"/>
      <w:r>
        <w:t>Brockdorff</w:t>
      </w:r>
      <w:proofErr w:type="spellEnd"/>
      <w:r>
        <w:t xml:space="preserve"> και υιοθετήθηκε κατά την ολομέλεια στις 14 Ιουνίου του τρέχοντος έτους, η ΕΟΚΕ είχε διατυπώσει συγκεκριμένες προτάσεις. </w:t>
      </w:r>
    </w:p>
    <w:p w14:paraId="21D39073" w14:textId="77777777" w:rsidR="00C36CF3" w:rsidRDefault="00C36CF3" w:rsidP="00C36CF3">
      <w:r>
        <w:t>Επιτρέψτε μου να παρουσιάσω τους προσκεκλημένους ομιλητές μας:</w:t>
      </w:r>
    </w:p>
    <w:p w14:paraId="4C595B80" w14:textId="77777777" w:rsidR="00C36CF3" w:rsidRDefault="00C36CF3" w:rsidP="00C36CF3">
      <w:r>
        <w:t xml:space="preserve">Έχουμε τη χαρά να έχουμε σήμερα μαζί μας μέσω τηλεδιάσκεψης από τη σύνοδο ολομέλειας του Κοινοβουλίου στο Στρασβούργο τον κ. </w:t>
      </w:r>
      <w:proofErr w:type="spellStart"/>
      <w:r>
        <w:t>José</w:t>
      </w:r>
      <w:proofErr w:type="spellEnd"/>
      <w:r>
        <w:t xml:space="preserve"> </w:t>
      </w:r>
      <w:proofErr w:type="spellStart"/>
      <w:r>
        <w:t>Manuel</w:t>
      </w:r>
      <w:proofErr w:type="spellEnd"/>
      <w:r>
        <w:t xml:space="preserve"> </w:t>
      </w:r>
      <w:proofErr w:type="spellStart"/>
      <w:r>
        <w:t>Fernandes</w:t>
      </w:r>
      <w:proofErr w:type="spellEnd"/>
      <w:r>
        <w:t xml:space="preserve">, εισηγητή του Ευρωπαϊκού Κοινοβουλίου για τους ιδίους πόρους. Όπως γνωρίζετε, όσον αφορά τους ιδίους πόρους, το Κοινοβούλιο δεν είναι όργανο </w:t>
      </w:r>
      <w:proofErr w:type="spellStart"/>
      <w:r>
        <w:t>συναπόφασης</w:t>
      </w:r>
      <w:proofErr w:type="spellEnd"/>
      <w:r>
        <w:t xml:space="preserve"> επί ίσοις όροις με το Συμβούλιο.</w:t>
      </w:r>
    </w:p>
    <w:p w14:paraId="1B182188" w14:textId="77777777" w:rsidR="00C36CF3" w:rsidRDefault="00C36CF3" w:rsidP="00C36CF3">
      <w:r>
        <w:t xml:space="preserve">Προτού σας εξηγήσει ο κ. </w:t>
      </w:r>
      <w:proofErr w:type="spellStart"/>
      <w:r>
        <w:t>Fernándes</w:t>
      </w:r>
      <w:proofErr w:type="spellEnd"/>
      <w:r>
        <w:t xml:space="preserve"> ποια είναι η θέση μας στη νομοθετική διαδικασία και ποιες είναι οι πολιτικές απαιτήσεις του Κοινοβουλίου, ο κ. </w:t>
      </w:r>
      <w:proofErr w:type="spellStart"/>
      <w:r>
        <w:t>Claudius</w:t>
      </w:r>
      <w:proofErr w:type="spellEnd"/>
      <w:r>
        <w:t xml:space="preserve"> </w:t>
      </w:r>
      <w:proofErr w:type="spellStart"/>
      <w:r>
        <w:t>Schmidt-Faber</w:t>
      </w:r>
      <w:proofErr w:type="spellEnd"/>
      <w:r>
        <w:t xml:space="preserve">, ο οποίος είναι ο αρμόδιος αναπληρωτής προϊστάμενος μονάδας στη Γενική Διεύθυνση Προϋπολογισμού της Ευρωπαϊκής Επιτροπής, θα σας παρουσιάσει τα βασικά στοιχεία της τελευταίας πρότασης για τους ιδίους πόρους και θα την πλαισιώσει. </w:t>
      </w:r>
    </w:p>
    <w:p w14:paraId="07CB24B1" w14:textId="77777777" w:rsidR="00C36CF3" w:rsidRDefault="00C36CF3" w:rsidP="00C36CF3">
      <w:r>
        <w:t xml:space="preserve">Στη συνέχεια, θα ζητήσω εν συντομία από τους εισηγητές μας να παρουσιάσουν τα κύρια σημεία του σχεδίου γνωμοδότησής τους που θα εγκρίνουμε σήμερα. </w:t>
      </w:r>
    </w:p>
    <w:p w14:paraId="6C42CA07" w14:textId="77777777" w:rsidR="008C24EF" w:rsidRDefault="008C24EF" w:rsidP="008C24EF"/>
    <w:sectPr w:rsidR="008C24EF" w:rsidSect="001F61C5">
      <w:headerReference w:type="default" r:id="rId8"/>
      <w:footerReference w:type="default" r:id="rId9"/>
      <w:headerReference w:type="first" r:id="rId10"/>
      <w:footerReference w:type="first" r:id="rId11"/>
      <w:type w:val="continuous"/>
      <w:pgSz w:w="11906" w:h="16838"/>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F6207" w14:textId="77777777" w:rsidR="000C679C" w:rsidRDefault="000C679C" w:rsidP="00A5663B">
      <w:pPr>
        <w:spacing w:after="0" w:line="240" w:lineRule="auto"/>
      </w:pPr>
      <w:r>
        <w:separator/>
      </w:r>
    </w:p>
    <w:p w14:paraId="4F206F13" w14:textId="77777777" w:rsidR="000C679C" w:rsidRDefault="000C679C"/>
  </w:endnote>
  <w:endnote w:type="continuationSeparator" w:id="0">
    <w:p w14:paraId="26B62714" w14:textId="77777777" w:rsidR="000C679C" w:rsidRDefault="000C679C" w:rsidP="00A5663B">
      <w:pPr>
        <w:spacing w:after="0" w:line="240" w:lineRule="auto"/>
      </w:pPr>
      <w:r>
        <w:continuationSeparator/>
      </w:r>
    </w:p>
    <w:p w14:paraId="3505EEAD" w14:textId="77777777" w:rsidR="000C679C" w:rsidRDefault="000C67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913188"/>
      <w:lock w:val="contentLocked"/>
      <w:group/>
    </w:sdtPr>
    <w:sdtContent>
      <w:p w14:paraId="7BCFA084" w14:textId="77777777" w:rsidR="0076008A" w:rsidRDefault="0076008A" w:rsidP="00CD7803">
        <w:pPr>
          <w:pStyle w:val="a6"/>
          <w:ind w:left="-1797"/>
        </w:pPr>
        <w:r w:rsidRPr="00912718">
          <w:rPr>
            <w:noProof/>
          </w:rPr>
          <w:drawing>
            <wp:inline distT="0" distB="0" distL="0" distR="0" wp14:anchorId="24B0B5B3" wp14:editId="2A376879">
              <wp:extent cx="7560000" cy="961200"/>
              <wp:effectExtent l="0" t="0" r="3175" b="0"/>
              <wp:docPr id="58" name="Εικόνα 58"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749343"/>
      <w:lock w:val="contentLocked"/>
      <w:group/>
    </w:sdtPr>
    <w:sdtContent>
      <w:sdt>
        <w:sdtPr>
          <w:id w:val="1683634910"/>
          <w:lock w:val="sdtContentLocked"/>
          <w:group/>
        </w:sdtPr>
        <w:sdtContent>
          <w:p w14:paraId="71D9DFAC" w14:textId="77777777" w:rsidR="00FE6402" w:rsidRDefault="00FE6402" w:rsidP="00FE6402">
            <w:pPr>
              <w:pStyle w:val="a6"/>
              <w:ind w:left="-1797"/>
            </w:pPr>
            <w:r w:rsidRPr="00912718">
              <w:rPr>
                <w:noProof/>
              </w:rPr>
              <w:drawing>
                <wp:inline distT="0" distB="0" distL="0" distR="0" wp14:anchorId="7F9B4255" wp14:editId="024CC060">
                  <wp:extent cx="7560000" cy="961200"/>
                  <wp:effectExtent l="0" t="0" r="3175" b="0"/>
                  <wp:docPr id="60" name="Εικόνα 60"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54A96" w14:textId="77777777" w:rsidR="000C679C" w:rsidRDefault="000C679C" w:rsidP="00A5663B">
      <w:pPr>
        <w:spacing w:after="0" w:line="240" w:lineRule="auto"/>
      </w:pPr>
      <w:bookmarkStart w:id="0" w:name="_Hlk484772647"/>
      <w:bookmarkEnd w:id="0"/>
      <w:r>
        <w:separator/>
      </w:r>
    </w:p>
    <w:p w14:paraId="79CB30DC" w14:textId="77777777" w:rsidR="000C679C" w:rsidRDefault="000C679C"/>
  </w:footnote>
  <w:footnote w:type="continuationSeparator" w:id="0">
    <w:p w14:paraId="3DD5C4AB" w14:textId="77777777" w:rsidR="000C679C" w:rsidRDefault="000C679C" w:rsidP="00A5663B">
      <w:pPr>
        <w:spacing w:after="0" w:line="240" w:lineRule="auto"/>
      </w:pPr>
      <w:r>
        <w:continuationSeparator/>
      </w:r>
    </w:p>
    <w:p w14:paraId="4CE6B455" w14:textId="77777777" w:rsidR="000C679C" w:rsidRDefault="000C67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3160"/>
      <w:lock w:val="contentLocked"/>
      <w:group/>
    </w:sdtPr>
    <w:sdtContent>
      <w:sdt>
        <w:sdtPr>
          <w:id w:val="-262458446"/>
          <w:lock w:val="sdtContentLocked"/>
          <w:group/>
        </w:sdtPr>
        <w:sdtContent>
          <w:p w14:paraId="1BE0A2C6" w14:textId="77777777" w:rsidR="001F61C5" w:rsidRDefault="001F61C5">
            <w:pPr>
              <w:pStyle w:val="a5"/>
              <w:spacing w:before="480"/>
              <w:divId w:val="1478960766"/>
              <w:rPr>
                <w:rFonts w:asciiTheme="minorHAnsi" w:hAnsiTheme="minorHAnsi"/>
                <w:color w:val="auto"/>
              </w:rPr>
            </w:pPr>
          </w:p>
          <w:sdt>
            <w:sdtPr>
              <w:id w:val="1739744541"/>
              <w:lock w:val="contentLocked"/>
              <w:group/>
            </w:sdtPr>
            <w:sdtContent>
              <w:p w14:paraId="13D14253" w14:textId="77777777" w:rsidR="0076008A" w:rsidRPr="001F61C5" w:rsidRDefault="001F61C5" w:rsidP="001F61C5">
                <w:pPr>
                  <w:pStyle w:val="a5"/>
                  <w:pBdr>
                    <w:right w:val="single" w:sz="18" w:space="4" w:color="008000"/>
                  </w:pBdr>
                  <w:ind w:left="-1800"/>
                  <w:jc w:val="right"/>
                  <w:divId w:val="1478960766"/>
                </w:pPr>
                <w:r>
                  <w:fldChar w:fldCharType="begin"/>
                </w:r>
                <w:r>
                  <w:instrText>PAGE   \* MERGEFORMAT</w:instrText>
                </w:r>
                <w:r>
                  <w:fldChar w:fldCharType="separate"/>
                </w:r>
                <w:r>
                  <w:t>2</w:t>
                </w:r>
                <w:r>
                  <w:fldChar w:fldCharType="end"/>
                </w:r>
              </w:p>
            </w:sdtContent>
          </w:sdt>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819182147"/>
      <w:lock w:val="sdtContentLocked"/>
      <w:group/>
    </w:sdtPr>
    <w:sdtContent>
      <w:p w14:paraId="32012197" w14:textId="77777777" w:rsidR="00FE6402" w:rsidRPr="00FE6402" w:rsidRDefault="00FE6402" w:rsidP="00FE6402">
        <w:pPr>
          <w:pStyle w:val="a5"/>
          <w:ind w:left="-1800"/>
          <w:rPr>
            <w:lang w:val="en-US"/>
          </w:rPr>
        </w:pPr>
        <w:r>
          <w:rPr>
            <w:noProof/>
            <w:lang w:eastAsia="el-GR"/>
          </w:rPr>
          <w:drawing>
            <wp:inline distT="0" distB="0" distL="0" distR="0" wp14:anchorId="2AAFB8A2" wp14:editId="324AEE0D">
              <wp:extent cx="7560000" cy="1440000"/>
              <wp:effectExtent l="0" t="0" r="3175" b="0"/>
              <wp:docPr id="59" name="Εικόνα 59"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9AD2337"/>
    <w:multiLevelType w:val="hybridMultilevel"/>
    <w:tmpl w:val="6E46CB5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34550430">
    <w:abstractNumId w:val="6"/>
  </w:num>
  <w:num w:numId="2" w16cid:durableId="570316819">
    <w:abstractNumId w:val="6"/>
  </w:num>
  <w:num w:numId="3" w16cid:durableId="732193417">
    <w:abstractNumId w:val="6"/>
  </w:num>
  <w:num w:numId="4" w16cid:durableId="1203326910">
    <w:abstractNumId w:val="6"/>
  </w:num>
  <w:num w:numId="5" w16cid:durableId="1284115772">
    <w:abstractNumId w:val="6"/>
  </w:num>
  <w:num w:numId="6" w16cid:durableId="1789423285">
    <w:abstractNumId w:val="6"/>
  </w:num>
  <w:num w:numId="7" w16cid:durableId="1945258299">
    <w:abstractNumId w:val="6"/>
  </w:num>
  <w:num w:numId="8" w16cid:durableId="1504391305">
    <w:abstractNumId w:val="6"/>
  </w:num>
  <w:num w:numId="9" w16cid:durableId="1227835424">
    <w:abstractNumId w:val="6"/>
  </w:num>
  <w:num w:numId="10" w16cid:durableId="2082560906">
    <w:abstractNumId w:val="4"/>
  </w:num>
  <w:num w:numId="11" w16cid:durableId="1170218629">
    <w:abstractNumId w:val="3"/>
  </w:num>
  <w:num w:numId="12" w16cid:durableId="65037018">
    <w:abstractNumId w:val="2"/>
  </w:num>
  <w:num w:numId="13" w16cid:durableId="1728991089">
    <w:abstractNumId w:val="1"/>
  </w:num>
  <w:num w:numId="14" w16cid:durableId="925187396">
    <w:abstractNumId w:val="0"/>
  </w:num>
  <w:num w:numId="15" w16cid:durableId="20650557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E8"/>
    <w:rsid w:val="00011187"/>
    <w:rsid w:val="000145EC"/>
    <w:rsid w:val="00016434"/>
    <w:rsid w:val="00016AD6"/>
    <w:rsid w:val="000224C1"/>
    <w:rsid w:val="000319B3"/>
    <w:rsid w:val="0003631E"/>
    <w:rsid w:val="0008214A"/>
    <w:rsid w:val="000864B5"/>
    <w:rsid w:val="00091240"/>
    <w:rsid w:val="000A5463"/>
    <w:rsid w:val="000B7AE8"/>
    <w:rsid w:val="000C099E"/>
    <w:rsid w:val="000C14DF"/>
    <w:rsid w:val="000C602B"/>
    <w:rsid w:val="000C679C"/>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439E"/>
    <w:rsid w:val="001F1161"/>
    <w:rsid w:val="001F61C5"/>
    <w:rsid w:val="002058AF"/>
    <w:rsid w:val="002251AF"/>
    <w:rsid w:val="00236A27"/>
    <w:rsid w:val="00255DD0"/>
    <w:rsid w:val="002570E4"/>
    <w:rsid w:val="00264E1B"/>
    <w:rsid w:val="0026597B"/>
    <w:rsid w:val="0027672E"/>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C0C12"/>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7354"/>
    <w:rsid w:val="0052064A"/>
    <w:rsid w:val="00523EAA"/>
    <w:rsid w:val="00540ED2"/>
    <w:rsid w:val="00547D78"/>
    <w:rsid w:val="00573B0A"/>
    <w:rsid w:val="0058273F"/>
    <w:rsid w:val="00583700"/>
    <w:rsid w:val="00584C89"/>
    <w:rsid w:val="00585F7F"/>
    <w:rsid w:val="005956CD"/>
    <w:rsid w:val="005B00C5"/>
    <w:rsid w:val="005B6534"/>
    <w:rsid w:val="005B661B"/>
    <w:rsid w:val="005C06B9"/>
    <w:rsid w:val="005C5A0B"/>
    <w:rsid w:val="005D05EE"/>
    <w:rsid w:val="005D2B1C"/>
    <w:rsid w:val="005D30F3"/>
    <w:rsid w:val="005D44A7"/>
    <w:rsid w:val="005F5A54"/>
    <w:rsid w:val="00610A7E"/>
    <w:rsid w:val="00612214"/>
    <w:rsid w:val="00617AC0"/>
    <w:rsid w:val="0063216C"/>
    <w:rsid w:val="00642AA7"/>
    <w:rsid w:val="00647299"/>
    <w:rsid w:val="00651CD5"/>
    <w:rsid w:val="006604D1"/>
    <w:rsid w:val="0066741D"/>
    <w:rsid w:val="006A52F5"/>
    <w:rsid w:val="006A785A"/>
    <w:rsid w:val="006C0BA4"/>
    <w:rsid w:val="006D0554"/>
    <w:rsid w:val="006E692F"/>
    <w:rsid w:val="006E6B93"/>
    <w:rsid w:val="006F050F"/>
    <w:rsid w:val="006F68D0"/>
    <w:rsid w:val="0072145A"/>
    <w:rsid w:val="00731C83"/>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C24EF"/>
    <w:rsid w:val="008F4A49"/>
    <w:rsid w:val="00906FB5"/>
    <w:rsid w:val="009324B1"/>
    <w:rsid w:val="00936BAC"/>
    <w:rsid w:val="009503E0"/>
    <w:rsid w:val="00953909"/>
    <w:rsid w:val="00972E62"/>
    <w:rsid w:val="00980425"/>
    <w:rsid w:val="00992CBF"/>
    <w:rsid w:val="00995C38"/>
    <w:rsid w:val="009A4192"/>
    <w:rsid w:val="009B3183"/>
    <w:rsid w:val="009C06F7"/>
    <w:rsid w:val="009C4D45"/>
    <w:rsid w:val="009C718E"/>
    <w:rsid w:val="009E1945"/>
    <w:rsid w:val="009E6773"/>
    <w:rsid w:val="00A04D49"/>
    <w:rsid w:val="00A0512E"/>
    <w:rsid w:val="00A12240"/>
    <w:rsid w:val="00A24A4D"/>
    <w:rsid w:val="00A32253"/>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D105C"/>
    <w:rsid w:val="00BE04D8"/>
    <w:rsid w:val="00BE52FC"/>
    <w:rsid w:val="00BE6103"/>
    <w:rsid w:val="00BF7928"/>
    <w:rsid w:val="00C0166C"/>
    <w:rsid w:val="00C04B0C"/>
    <w:rsid w:val="00C13744"/>
    <w:rsid w:val="00C2350C"/>
    <w:rsid w:val="00C243A1"/>
    <w:rsid w:val="00C32FBB"/>
    <w:rsid w:val="00C36CF3"/>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065B2"/>
    <w:rsid w:val="00D11B9D"/>
    <w:rsid w:val="00D14800"/>
    <w:rsid w:val="00D342CB"/>
    <w:rsid w:val="00D35A4C"/>
    <w:rsid w:val="00D4303F"/>
    <w:rsid w:val="00D43376"/>
    <w:rsid w:val="00D4455A"/>
    <w:rsid w:val="00D7519B"/>
    <w:rsid w:val="00DA0B8B"/>
    <w:rsid w:val="00DA50E4"/>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 w:val="00FE64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3F7AE"/>
  <w15:docId w15:val="{896C3A51-F734-467C-A119-48C81397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928;&#929;&#927;&#932;&#933;&#928;&#913;%20&#917;&#928;&#921;&#931;&#932;&#927;&#923;&#927;&#935;&#913;&#929;&#932;&#913;%20&#917;&#931;&#913;&#924;&#917;&#913;\&#913;&#916;&#917;&#921;&#927;-20180624.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0EF3FA-DC34-43E7-81E3-455DFAA61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ΑΔΕΙΟ-20180624.dotx</Template>
  <TotalTime>1</TotalTime>
  <Pages>2</Pages>
  <Words>802</Words>
  <Characters>4332</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Επιστολόχαρτο (Web)</vt:lpstr>
    </vt:vector>
  </TitlesOfParts>
  <Company>Εθνική Συνομοσπονδία Ατόμων με Αναπηρία (ΕΣΑμεΑ)</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 (Web)</dc:title>
  <dc:creator>tkatsani</dc:creator>
  <cp:lastModifiedBy>tania katsani</cp:lastModifiedBy>
  <cp:revision>2</cp:revision>
  <cp:lastPrinted>2017-05-26T15:11:00Z</cp:lastPrinted>
  <dcterms:created xsi:type="dcterms:W3CDTF">2023-10-05T08:46:00Z</dcterms:created>
  <dcterms:modified xsi:type="dcterms:W3CDTF">2023-10-05T08:46:00Z</dcterms:modified>
  <cp:contentStatus/>
  <dc:language>Ελληνικά</dc:language>
  <cp:version>am-20180624</cp:version>
</cp:coreProperties>
</file>