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2538A089" w:rsidR="00D600B6" w:rsidRPr="004B781B" w:rsidRDefault="007856AF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Τρίτη 28</w:t>
      </w:r>
      <w:r w:rsidR="0096474A">
        <w:rPr>
          <w:rFonts w:ascii="Arial Narrow" w:hAnsi="Arial Narrow"/>
          <w:b/>
          <w:sz w:val="28"/>
          <w:szCs w:val="28"/>
        </w:rPr>
        <w:t xml:space="preserve"> </w:t>
      </w:r>
      <w:r w:rsidR="006D6CE2">
        <w:rPr>
          <w:rFonts w:ascii="Arial Narrow" w:hAnsi="Arial Narrow"/>
          <w:b/>
          <w:sz w:val="28"/>
          <w:szCs w:val="28"/>
        </w:rPr>
        <w:t>Νοεμβρίου</w:t>
      </w:r>
      <w:r w:rsidR="00751EC2" w:rsidRPr="004B781B">
        <w:rPr>
          <w:rFonts w:ascii="Arial Narrow" w:hAnsi="Arial Narrow"/>
          <w:b/>
          <w:sz w:val="28"/>
          <w:szCs w:val="28"/>
        </w:rPr>
        <w:t xml:space="preserve"> </w:t>
      </w:r>
      <w:r w:rsidR="00614580" w:rsidRPr="004B781B">
        <w:rPr>
          <w:rFonts w:ascii="Arial Narrow" w:hAnsi="Arial Narrow"/>
          <w:b/>
          <w:sz w:val="28"/>
          <w:szCs w:val="28"/>
        </w:rPr>
        <w:t xml:space="preserve"> 2023</w:t>
      </w:r>
    </w:p>
    <w:p w14:paraId="0F403C6D" w14:textId="77777777" w:rsidR="00D600B6" w:rsidRPr="004B781B" w:rsidRDefault="00D600B6" w:rsidP="00D600B6">
      <w:pPr>
        <w:rPr>
          <w:rFonts w:ascii="Arial Narrow" w:hAnsi="Arial Narrow"/>
          <w:sz w:val="28"/>
          <w:szCs w:val="28"/>
        </w:rPr>
      </w:pPr>
    </w:p>
    <w:p w14:paraId="2E5ACFE8" w14:textId="77777777" w:rsidR="008428ED" w:rsidRPr="004B781B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B781B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4B781B">
        <w:rPr>
          <w:rFonts w:ascii="Arial Narrow" w:hAnsi="Arial Narrow"/>
          <w:b/>
          <w:sz w:val="28"/>
          <w:szCs w:val="28"/>
          <w:lang w:val="en-US"/>
        </w:rPr>
        <w:t>Weekly</w:t>
      </w:r>
      <w:r w:rsidRPr="004B781B">
        <w:rPr>
          <w:rFonts w:ascii="Arial Narrow" w:hAnsi="Arial Narrow"/>
          <w:b/>
          <w:sz w:val="28"/>
          <w:szCs w:val="28"/>
        </w:rPr>
        <w:t xml:space="preserve"> </w:t>
      </w:r>
      <w:r w:rsidR="0022351F" w:rsidRPr="004B781B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4B781B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4B781B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5DFDE042" w14:textId="77777777" w:rsidR="00751EC2" w:rsidRDefault="00751EC2" w:rsidP="00751EC2">
      <w:pPr>
        <w:spacing w:after="0" w:line="240" w:lineRule="auto"/>
      </w:pPr>
    </w:p>
    <w:p w14:paraId="707ED345" w14:textId="77777777" w:rsidR="006D6CE2" w:rsidRPr="006D6CE2" w:rsidRDefault="006D6CE2" w:rsidP="006D6CE2">
      <w:pPr>
        <w:spacing w:after="0" w:line="240" w:lineRule="auto"/>
        <w:rPr>
          <w:rFonts w:ascii="Arial Narrow" w:eastAsia="Times New Roman" w:hAnsi="Arial Narrow" w:cs="Times New Roman"/>
          <w:color w:val="222222"/>
          <w:sz w:val="27"/>
          <w:szCs w:val="27"/>
          <w:lang w:eastAsia="el-GR"/>
        </w:rPr>
      </w:pPr>
    </w:p>
    <w:p w14:paraId="1159B107" w14:textId="1053A530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27ΝΟΕ</w:t>
      </w:r>
    </w:p>
    <w:p w14:paraId="4DA4CC3C" w14:textId="774446B6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6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Με μεγάλη επιτυχία παρουσιάστηκαν τα αποτελέσματα του «ΑΓΗΣΙΛΑΟΣ» στην 1η Παν- Πελοποννησιακή Συνέλευση</w:t>
        </w:r>
      </w:hyperlink>
    </w:p>
    <w:p w14:paraId="463BF609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Χαιρέτησε ο πρόεδρος της ΕΣΑμεΑ Ιωάννης Βαρδακαστάνης Τα αποτελέσματα της Πράξης «Καταπολέμηση των Διακρίσεων και Προώθηση της Κοινωνικής και Εργασιακής Ένταξης για τα Άτομα με Αναπηρία, Χρόνιες Παθήσεις και τις...</w:t>
      </w:r>
    </w:p>
    <w:p w14:paraId="6E5DF02F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5E7A57F0" w14:textId="73F4DC34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27ΝΟΕ</w:t>
      </w:r>
    </w:p>
    <w:p w14:paraId="7C306B5A" w14:textId="38E9053A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7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Παγκόσμια Ημέρα για την Εξάλειψη της Βίας κατά των Γυναικών: H Ευρώπη συνεχίζει την αναγκαστική στείρωση γυναικών με αναπηρία</w:t>
        </w:r>
      </w:hyperlink>
    </w:p>
    <w:p w14:paraId="68935C45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#EndForcedSterilisation Με αφορμή την 25η Νοεμβρίου, που έχει οριστεί ως Παγκόσμια Ημέρα για την Εξάλειψη της Βίας κατά των Γυναικών από το 1999, με απόφαση της Γενικής Συνέλευσης του ΟΗΕ,...</w:t>
      </w:r>
    </w:p>
    <w:p w14:paraId="7A6941C4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2504CF9D" w14:textId="13B0B8D2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27ΝΟΕ</w:t>
      </w:r>
    </w:p>
    <w:p w14:paraId="725A93E9" w14:textId="168C722C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8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Νομοθετική παρέμβαση ζητά η ΕΣΑμεΑ για τη συνέχιση των συμβάσεων έκτακτου και επικουρικού προσωπικού των ΚΚ Πρόνοιας</w:t>
        </w:r>
      </w:hyperlink>
    </w:p>
    <w:p w14:paraId="17E94842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Την άμεση νομοθετική παρέμβαση του υπουργείου Κοινωνικής Συνοχής και Οικογένειας ζητά για πολλοστή φορά η ΕΣΑμεΑ, σχετικά με τη λήξη των συμβάσεων του  έκτακτου και επικουρικού προσωπικού που στελεχώνει τα...</w:t>
      </w:r>
    </w:p>
    <w:p w14:paraId="70DD20E6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6C5334EF" w14:textId="77777777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24ΝΟΕ</w:t>
      </w:r>
    </w:p>
    <w:p w14:paraId="4F22975B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9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Εκδήλωση ΕΣΑμεΑ - ΕΝΑΤ: Ενσωμάτωση της προσβασιμότητας στα προϊόντα και τις υπηρεσίες, 27/11</w:t>
        </w:r>
      </w:hyperlink>
    </w:p>
    <w:p w14:paraId="02502670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  <w:r w:rsidRPr="007856AF">
        <w:rPr>
          <w:rFonts w:ascii="Arial Narrow" w:hAnsi="Arial Narrow"/>
          <w:sz w:val="25"/>
          <w:szCs w:val="25"/>
        </w:rPr>
        <w:t>Στο πλαίσιο υλοποίησης του Έργου «Ευρωπαϊκό Κέντρο Πόρων Προσβασιμότητας (“AccessibleEU Resource Centre”) - AccessibleEU», το οποίο αποτελεί μία από τις εμβληματικές πρωτοβουλίες της Στρατηγικής της Ευρωπαϊκής Επιτροπής για τα Δικαιώματα των Ατόμων...</w:t>
      </w:r>
    </w:p>
    <w:p w14:paraId="2D0A54FA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</w:p>
    <w:p w14:paraId="360AED8A" w14:textId="57DF4FEE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23ΝΟΕ</w:t>
      </w:r>
    </w:p>
    <w:p w14:paraId="5C47967B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10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Η ΕΣΑμεΑ στηρίζει την Πανελλαδική συγκέντρωση των συνταξιούχων της χώρας, 24/11 πλ. Κλαυθμώνος</w:t>
        </w:r>
      </w:hyperlink>
    </w:p>
    <w:p w14:paraId="4164D43C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  <w:r w:rsidRPr="007856AF">
        <w:rPr>
          <w:rFonts w:ascii="Arial Narrow" w:hAnsi="Arial Narrow"/>
          <w:sz w:val="25"/>
          <w:szCs w:val="25"/>
        </w:rPr>
        <w:t>Η Εθνική Συνομοσπονδία Ατόμων με Αναπηρία (ΕΣΑμεΑ), η Εθνική Ομοσπονδία Τυφλών και ο Πανελλήνιος Σύνδεσμος Τυφλών δηλώνουν τη συμπαράστασή τους στην αυριανή Πανελλαδική συγκέντρωση των συνταξιούχων της χώρας. Απευθύνουν ευρύ...</w:t>
      </w:r>
    </w:p>
    <w:p w14:paraId="197F1655" w14:textId="77777777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</w:p>
    <w:p w14:paraId="44368BE6" w14:textId="006ABA70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21ΝΟΕ</w:t>
      </w:r>
    </w:p>
    <w:p w14:paraId="43024E2D" w14:textId="73207378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11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ΑΓΗΣΙΛΑΟΣ: Ημερίδα 22/11 στην Τρίπολη «Δικτύωση του αναπηρικού κινήματος με τα κινήματα προστασίας του περιβάλλοντος, του καταναλωτή, της ισότητας των φύλων και της μη διάκρισης»</w:t>
        </w:r>
      </w:hyperlink>
    </w:p>
    <w:p w14:paraId="4A7DE5B8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lastRenderedPageBreak/>
        <w:t>Ημερίδα με θέμα: «Δικτύωση και ώσμωση του αναπηρικού κινήματος με τα κινήματα προστασίας του περιβάλλοντος, του καταναλωτή καθώς και τα κινήματα της ισότητας των φύλων και της μη διάκρισης», στην...</w:t>
      </w:r>
    </w:p>
    <w:p w14:paraId="1764EAA3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5AE2A7B9" w14:textId="34AE2241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17ΝΟΕ</w:t>
      </w:r>
    </w:p>
    <w:p w14:paraId="444942EB" w14:textId="26D4CC08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12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 xml:space="preserve">Συνάντηση ΕΣΑμεΑ με τον </w:t>
        </w:r>
        <w:proofErr w:type="spellStart"/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υφυπ</w:t>
        </w:r>
        <w:proofErr w:type="spellEnd"/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.</w:t>
        </w:r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 xml:space="preserve"> Οικονομίας Χ. Θεοχάρη για φορολογικά και τέλη ταξινόμησης</w:t>
        </w:r>
      </w:hyperlink>
    </w:p>
    <w:p w14:paraId="4998FBA0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Ενόψει της κατάθεσης του φορολογικού νομοσχεδίου από την Κυβέρνηση, αντιπροσωπεία της ΕΣΑμεΑ είχε συνάντηση με τον υφυπουργό Εθνικής Οικονομίας και Οικονομικών, αρμόδιο για τη Φορολογική Πολιτική Χ. Θεοχάρη, όπου του...</w:t>
      </w:r>
    </w:p>
    <w:p w14:paraId="7CBB0A02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0AED4A71" w14:textId="77777777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17ΝΟΕ</w:t>
      </w:r>
    </w:p>
    <w:p w14:paraId="4C4D8F04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13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50 χρόνια από την εξέγερση του Πολυτεχνείου, οι αγώνες για κοινωνική δικαιοσύνη παραμένουν επίκαιροι</w:t>
        </w:r>
      </w:hyperlink>
    </w:p>
    <w:p w14:paraId="56746E9C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  <w:r w:rsidRPr="007856AF">
        <w:rPr>
          <w:rFonts w:ascii="Arial Narrow" w:hAnsi="Arial Narrow"/>
          <w:sz w:val="25"/>
          <w:szCs w:val="25"/>
        </w:rPr>
        <w:t>Η ΕΣΑμεΑ τιμά την 50η επέτειο της εξέγερσης του Πολυτεχνείου, τον λαό, τους φοιτητές, τους νέους και όλους όσους πάλεψαν για τη Δημοκρατία, την Ελευθερία, την Παιδεία, την Ειρήνη και...</w:t>
      </w:r>
    </w:p>
    <w:p w14:paraId="7F5CCF6E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0CFA0331" w14:textId="3B8884D6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16ΝΟΕ</w:t>
      </w:r>
    </w:p>
    <w:p w14:paraId="6E592F03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14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Κερατσίνι: Πολλαπλά επίπεδα βαναυσότητας από άτομα, από ΜΜΕ - η Πολιτεία απουσιάζει</w:t>
        </w:r>
      </w:hyperlink>
    </w:p>
    <w:p w14:paraId="6E6D797A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Η ΕΣΑμεΑ τονίζει ότι η κατάφορη παραβίαση όλων των ανθρώπινων αξιών και δικαιωμάτων και η απουσία της Ελληνικής Πολιτείας σε επίπεδο Δήμου, σε επίπεδο κοινωνικών υπηρεσιών, σε επίπεδο στήριξης οικογένειας,...</w:t>
      </w:r>
    </w:p>
    <w:p w14:paraId="403B26A0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</w:p>
    <w:p w14:paraId="64A6857A" w14:textId="38459993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  <w:lang w:eastAsia="el-GR"/>
        </w:rPr>
      </w:pPr>
      <w:r w:rsidRPr="007856AF">
        <w:rPr>
          <w:rFonts w:ascii="Arial Narrow" w:hAnsi="Arial Narrow"/>
          <w:b/>
          <w:bCs/>
          <w:sz w:val="25"/>
          <w:szCs w:val="25"/>
          <w:lang w:eastAsia="el-GR"/>
        </w:rPr>
        <w:t>15ΝΟΕ</w:t>
      </w:r>
    </w:p>
    <w:p w14:paraId="65E4A188" w14:textId="2E7BF659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  <w:lang w:eastAsia="el-GR"/>
        </w:rPr>
      </w:pPr>
      <w:hyperlink r:id="rId15" w:history="1">
        <w:r w:rsidRPr="007856AF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5"/>
            <w:szCs w:val="25"/>
            <w:lang w:eastAsia="el-GR"/>
          </w:rPr>
          <w:t>Ι. Βαρδακαστάνης από την ΕΟΚΕ για τις προκλήσεις που αντιμετωπίζουν νησιά, ορεινές και αραιοκατοικημένες περιοχές</w:t>
        </w:r>
      </w:hyperlink>
    </w:p>
    <w:p w14:paraId="0F15C057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  <w:lang w:eastAsia="el-GR"/>
        </w:rPr>
      </w:pPr>
      <w:r w:rsidRPr="007856AF">
        <w:rPr>
          <w:rFonts w:ascii="Arial Narrow" w:hAnsi="Arial Narrow"/>
          <w:sz w:val="25"/>
          <w:szCs w:val="25"/>
          <w:lang w:eastAsia="el-GR"/>
        </w:rPr>
        <w:t>Τη συζήτηση στο Τμήμα «Οικονομική και Νομισματική Ένωση, οικονομική και κοινωνική συνοχή» (ECO) της ΕΟΚΕ συντόνισε ο πρόεδρός του και πρόεδρος της ΕΣΑμεΑ Ιωάννης Βαρδακαστάνης με θέμα «Οι κύριες προκλήσεις...</w:t>
      </w:r>
    </w:p>
    <w:p w14:paraId="588EBF0D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</w:p>
    <w:p w14:paraId="0093142B" w14:textId="612160E3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14ΝΟΕ</w:t>
      </w:r>
    </w:p>
    <w:p w14:paraId="2579747D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16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Παγκόσμια Ημέρα κατά του Σακχαρώδη Διαβήτη - Ανάγκη για ένα Εθνικό Σχέδιο Δράσης για τον Σακχαρώδη Διαβήτη μαζί με την ΠΟΣΣΑΣΔΙΑ</w:t>
        </w:r>
      </w:hyperlink>
    </w:p>
    <w:p w14:paraId="3F76A219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  <w:r w:rsidRPr="007856AF">
        <w:rPr>
          <w:rFonts w:ascii="Arial Narrow" w:hAnsi="Arial Narrow"/>
          <w:sz w:val="25"/>
          <w:szCs w:val="25"/>
        </w:rPr>
        <w:t>Η Παγκόσμια Ημέρα κατά του Σακχαρώδη Διαβήτη καθιερώθηκε το 1991 από τον Παγκόσμιο Οργανισμό Υγείας και τη Διεθνή Ομοσπονδία Διαβήτη για να αποτυπώσει τον προβληματισμό για την κλιμακούμενη συχνότητα εμφάνισης...</w:t>
      </w:r>
    </w:p>
    <w:p w14:paraId="4BB4867D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</w:p>
    <w:p w14:paraId="45357163" w14:textId="268EB4A3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14ΝΟΕ</w:t>
      </w:r>
    </w:p>
    <w:p w14:paraId="2E4BAC19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17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Εργαστήριο «Σχεδιάζοντας Προσβάσιμες Εκδηλώσεις»</w:t>
        </w:r>
      </w:hyperlink>
    </w:p>
    <w:p w14:paraId="2815F959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  <w:r w:rsidRPr="007856AF">
        <w:rPr>
          <w:rFonts w:ascii="Arial Narrow" w:hAnsi="Arial Narrow"/>
          <w:sz w:val="25"/>
          <w:szCs w:val="25"/>
        </w:rPr>
        <w:t>Στο πλαίσιο υλοποίησης του Έργου «Ευρωπαϊκό Κέντρο Πόρων Προσβασιμότητας (“AccessibleEU Resource Centre”) - AccessibleEU», το οποίο αποτελεί από τις εμβληματικές πρωτοβουλίες της Στρατηγικής της Ευρωπαϊκής Επιτροπής για τα Δικαιώματα των Ατόμων με...</w:t>
      </w:r>
    </w:p>
    <w:p w14:paraId="58305639" w14:textId="77777777" w:rsidR="007856AF" w:rsidRPr="007856AF" w:rsidRDefault="007856AF" w:rsidP="007856AF">
      <w:pPr>
        <w:pStyle w:val="a6"/>
        <w:rPr>
          <w:rFonts w:ascii="Arial Narrow" w:hAnsi="Arial Narrow"/>
          <w:sz w:val="25"/>
          <w:szCs w:val="25"/>
        </w:rPr>
      </w:pPr>
    </w:p>
    <w:p w14:paraId="6E0BA2FF" w14:textId="679848DE" w:rsidR="007856AF" w:rsidRPr="007856AF" w:rsidRDefault="007856AF" w:rsidP="007856AF">
      <w:pPr>
        <w:pStyle w:val="a6"/>
        <w:rPr>
          <w:rFonts w:ascii="Arial Narrow" w:hAnsi="Arial Narrow"/>
          <w:b/>
          <w:bCs/>
          <w:sz w:val="25"/>
          <w:szCs w:val="25"/>
        </w:rPr>
      </w:pPr>
      <w:r w:rsidRPr="007856AF">
        <w:rPr>
          <w:rFonts w:ascii="Arial Narrow" w:hAnsi="Arial Narrow"/>
          <w:b/>
          <w:bCs/>
          <w:sz w:val="25"/>
          <w:szCs w:val="25"/>
        </w:rPr>
        <w:t>14ΝΟΕ</w:t>
      </w:r>
    </w:p>
    <w:p w14:paraId="4F78FE68" w14:textId="77777777" w:rsidR="007856AF" w:rsidRPr="007856AF" w:rsidRDefault="007856AF" w:rsidP="007856AF">
      <w:pPr>
        <w:pStyle w:val="a6"/>
        <w:rPr>
          <w:rFonts w:ascii="Arial Narrow" w:hAnsi="Arial Narrow"/>
          <w:color w:val="385623" w:themeColor="accent6" w:themeShade="80"/>
          <w:sz w:val="25"/>
          <w:szCs w:val="25"/>
        </w:rPr>
      </w:pPr>
      <w:hyperlink r:id="rId18" w:history="1">
        <w:r w:rsidRPr="007856AF">
          <w:rPr>
            <w:rStyle w:val="-"/>
            <w:rFonts w:ascii="Arial Narrow" w:hAnsi="Arial Narrow"/>
            <w:b/>
            <w:bCs/>
            <w:color w:val="385623" w:themeColor="accent6" w:themeShade="80"/>
            <w:sz w:val="25"/>
            <w:szCs w:val="25"/>
          </w:rPr>
          <w:t>Εκδήλωση «Έξυπνες και Συμπεριληπτικές Πόλεις: Υπηρεσίες που απευθύνονται σε όλους τους πολίτες και επισκέπτες»</w:t>
        </w:r>
      </w:hyperlink>
    </w:p>
    <w:p w14:paraId="151FA868" w14:textId="7DDCB840" w:rsidR="007856AF" w:rsidRDefault="007856AF" w:rsidP="007856AF">
      <w:pPr>
        <w:pStyle w:val="a6"/>
        <w:rPr>
          <w:rFonts w:ascii="Arial Narrow" w:hAnsi="Arial Narrow"/>
          <w:b/>
          <w:color w:val="003300"/>
          <w:sz w:val="26"/>
          <w:szCs w:val="26"/>
        </w:rPr>
      </w:pPr>
      <w:r w:rsidRPr="007856AF">
        <w:rPr>
          <w:rFonts w:ascii="Arial Narrow" w:hAnsi="Arial Narrow"/>
          <w:sz w:val="25"/>
          <w:szCs w:val="25"/>
        </w:rPr>
        <w:t>Στο πλαίσιο υλοποίησης του Έργου «Ευρωπαϊκό Κέντρο Πόρων Προσβασιμότητας (“AccessibleEU Resource Centre”) - AccessibleEU», το οποίο αποτελεί από τις εμβληματικές πρωτοβουλίες της Στρατηγικής της Ευρωπαϊκής Επιτροπής για τα Δικαιώματα των Ατόμων με...</w:t>
      </w:r>
    </w:p>
    <w:p w14:paraId="73BFE686" w14:textId="77777777" w:rsidR="007856AF" w:rsidRDefault="007856AF" w:rsidP="0096474A">
      <w:pPr>
        <w:rPr>
          <w:rFonts w:ascii="Arial Narrow" w:hAnsi="Arial Narrow"/>
          <w:b/>
          <w:color w:val="003300"/>
          <w:sz w:val="26"/>
          <w:szCs w:val="26"/>
        </w:rPr>
      </w:pPr>
    </w:p>
    <w:p w14:paraId="1D41A3E6" w14:textId="249E74CB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9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20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3F3B560" w14:textId="77777777" w:rsidR="0096474A" w:rsidRDefault="008428ED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  <w:r w:rsidR="0096474A" w:rsidRPr="0096474A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221FAB19" w:rsidR="008428ED" w:rsidRPr="005B459E" w:rsidRDefault="0096474A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21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</w:p>
    <w:p w14:paraId="5A0BDD3E" w14:textId="22FF4CE5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36944CE0">
            <wp:extent cx="1716351" cy="1457325"/>
            <wp:effectExtent l="0" t="0" r="0" b="0"/>
            <wp:docPr id="1" name="Εικόνα 1" descr="λογότυπο ΕΣΑμεΑ, 4 παλάμες ενωμένες, 2 κλαδιά δάφνης, Ε.ΣΑ.μεΑ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λογότυπο ΕΣΑμεΑ, 4 παλάμες ενωμένες, 2 κλαδιά δάφνης, Ε.ΣΑ.μεΑ. 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4" cy="147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6474A"/>
    <w:rsid w:val="00992381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nomothetikh-parembash-zhta-h-esamea-gia-th-synexish-twn-symbasewn-ektaktoy-kai-epikoyrikoy-proswpikoy-twn-kk-pronoias" TargetMode="External"/><Relationship Id="rId13" Type="http://schemas.openxmlformats.org/officeDocument/2006/relationships/hyperlink" Target="https://www.esamea.gr/el/article/50-xronia-apo-thn-exegersh-toy-polytexneioy-oi-agwnes-gia-koinwnikh-dikaiosynh-paramenoyn-epikairoi" TargetMode="External"/><Relationship Id="rId18" Type="http://schemas.openxmlformats.org/officeDocument/2006/relationships/hyperlink" Target="https://www.esamea.gr/el/article/ekdhlwsh-exypnes-kai-symperilhptikes-poleis-yphresies-poy-apeythynontai-se-oloys-toys-polites-kai-episkept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amea.gr" TargetMode="External"/><Relationship Id="rId7" Type="http://schemas.openxmlformats.org/officeDocument/2006/relationships/hyperlink" Target="https://www.esamea.gr/el/article/pagkosmia-hmera-gia-thn-exaleipsh-ths-bias-kata-twn-gynaikwn-h-eyrwph-synexizei-thn-anagkastikh-steirwsh-gynaikwn-me-anaphria" TargetMode="External"/><Relationship Id="rId12" Type="http://schemas.openxmlformats.org/officeDocument/2006/relationships/hyperlink" Target="https://www.esamea.gr/el/article/synanthsh-esamea-me-ton-yfyp-oikonomias-x-theoxarh-gia-forologika-kai-telh-taxinomhshs" TargetMode="External"/><Relationship Id="rId17" Type="http://schemas.openxmlformats.org/officeDocument/2006/relationships/hyperlink" Target="https://www.esamea.gr/el/article/ergasthrio-sxediazontas-prosbasimes-ekdhlwse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el/article/pagkosmia-hmera-kata-toy-sakxarwdh-diabhth-anagkh-gia-ena-ethniko-sxedio-drashs-gia-ton-sakxarwdh-diabhth-mazi-me-thn-possasdia" TargetMode="External"/><Relationship Id="rId20" Type="http://schemas.openxmlformats.org/officeDocument/2006/relationships/hyperlink" Target="https://twitter.com/ESAMEA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me-megalh-epityxia-paroysiasthkan-ta-apotelesmata-toy-aghsilaos-sthn-1h-pan-peloponnhsiakh-syneleysh" TargetMode="External"/><Relationship Id="rId11" Type="http://schemas.openxmlformats.org/officeDocument/2006/relationships/hyperlink" Target="https://www.esamea.gr/el/article/aghsilaos-hmerida-2211-sthn-tripolh-diktywsh-toy-anaphrikoy-kinhmatos-me-ta-kinhmata-prostasias-toy-periballontos-toy-katanalwth-ths-isothtas-twn-fylwn-kai-ths-mh-diakri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i-bardakastanhs-apo-thn-eoke-gia-tis-proklhseis-poy-antimetwpizoyn-nhsia-oreines-kai-araiokatoikhmenes-periox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samea.gr/el/article/h-esamea-sthrizei-thn-panelladikh-sygkentrwsh-twn-syntaxioyxwn-ths-xwras-2411-pl-klaythmwnos" TargetMode="External"/><Relationship Id="rId19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kdhlwsh-esamea-enat-enswmatwsh-ths-prosbasimothtas-sta-proionta-kai-ths-yphresies-2711" TargetMode="External"/><Relationship Id="rId14" Type="http://schemas.openxmlformats.org/officeDocument/2006/relationships/hyperlink" Target="https://www.esamea.gr/el/article/keratsini-pollapla-epipeda-banaysothtas-apo-atoma-apo-mme-h-politeia-apoysiazei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1047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2023-11-28T08:19:00Z</dcterms:created>
  <dcterms:modified xsi:type="dcterms:W3CDTF">2023-11-28T08:19:00Z</dcterms:modified>
</cp:coreProperties>
</file>