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6DA3491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9-11T00:00:00Z">
                    <w:dateFormat w:val="dd.MM.yyyy"/>
                    <w:lid w:val="el-GR"/>
                    <w:storeMappedDataAs w:val="dateTime"/>
                    <w:calendar w:val="gregorian"/>
                  </w:date>
                </w:sdtPr>
                <w:sdtContent>
                  <w:r w:rsidR="00914FBB">
                    <w:t>11.09.2024</w:t>
                  </w:r>
                </w:sdtContent>
              </w:sdt>
            </w:sdtContent>
          </w:sdt>
        </w:sdtContent>
      </w:sdt>
    </w:p>
    <w:p w14:paraId="41EA2CD5" w14:textId="29281C44"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D40DE">
            <w:t>846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2A6FB69"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B3609" w:rsidRPr="000B3609">
                <w:rPr>
                  <w:rStyle w:val="Char2"/>
                  <w:b/>
                  <w:u w:val="none"/>
                </w:rPr>
                <w:t>Ο αντίκτυπος της κρίσης του κόστους ζωής στα άτομα με αναπηρία</w:t>
              </w:r>
              <w:r w:rsidR="00CF555C">
                <w:rPr>
                  <w:rStyle w:val="Char2"/>
                  <w:b/>
                  <w:u w:val="none"/>
                </w:rPr>
                <w:t xml:space="preserve"> στην ΕΕ</w:t>
              </w:r>
              <w:r w:rsidR="000B3609" w:rsidRPr="000B3609">
                <w:rPr>
                  <w:rStyle w:val="Char2"/>
                  <w:b/>
                  <w:u w:val="none"/>
                </w:rPr>
                <w:t xml:space="preserve"> </w:t>
              </w:r>
            </w:sdtContent>
          </w:sdt>
        </w:sdtContent>
      </w:sdt>
      <w:r w:rsidR="00177B45" w:rsidRPr="00614D55">
        <w:rPr>
          <w:u w:val="none"/>
        </w:rPr>
        <w:t xml:space="preserve"> </w:t>
      </w:r>
    </w:p>
    <w:sdt>
      <w:sdtPr>
        <w:rPr>
          <w:rFonts w:eastAsia="Times New Roman" w:cs="Times New Roman"/>
          <w:b w:val="0"/>
          <w:i/>
          <w:color w:val="000000"/>
          <w:spacing w:val="0"/>
          <w:kern w:val="0"/>
          <w:sz w:val="22"/>
          <w:szCs w:val="22"/>
          <w:u w:val="none"/>
        </w:rPr>
        <w:id w:val="-2046200601"/>
        <w:lock w:val="contentLocked"/>
        <w:placeholder>
          <w:docPart w:val="4C5D54D70D474E56A7D141835C893293"/>
        </w:placeholder>
        <w:group/>
      </w:sdtPr>
      <w:sdtContent>
        <w:sdt>
          <w:sdtPr>
            <w:rPr>
              <w:rFonts w:eastAsia="Times New Roman" w:cs="Times New Roman"/>
              <w:b w:val="0"/>
              <w:color w:val="000000"/>
              <w:spacing w:val="0"/>
              <w:kern w:val="0"/>
              <w:sz w:val="22"/>
              <w:szCs w:val="22"/>
              <w:u w:val="none"/>
            </w:rPr>
            <w:alias w:val="Σώμα του ΔΤ"/>
            <w:tag w:val="Σώμα του ΔΤ"/>
            <w:id w:val="-1096393226"/>
            <w:lock w:val="sdtLocked"/>
            <w:placeholder>
              <w:docPart w:val="EED56959E1BE415DBC8DB03406A627B8"/>
            </w:placeholder>
          </w:sdtPr>
          <w:sdtContent>
            <w:p w14:paraId="6995F2F0" w14:textId="2CFFD8C7" w:rsidR="008B0764" w:rsidRDefault="008B0764" w:rsidP="008B0764">
              <w:pPr>
                <w:pStyle w:val="mySubtitle"/>
              </w:pPr>
              <w:r>
                <w:t>Η Ελλάδα μεταξύ των 13 χωρών της ΕΕ που αυξήθηκε ο κίνδυνος</w:t>
              </w:r>
              <w:r w:rsidRPr="008B0764">
                <w:t xml:space="preserve"> φτώχειας και κοινωνικού αποκλεισμού</w:t>
              </w:r>
              <w:r>
                <w:t xml:space="preserve"> των ατόμων με αναπηρία</w:t>
              </w:r>
              <w:r w:rsidR="00CF555C">
                <w:t xml:space="preserve"> τα τελευταία χρόνια</w:t>
              </w:r>
              <w:r>
                <w:t xml:space="preserve"> </w:t>
              </w:r>
            </w:p>
            <w:p w14:paraId="08A09001" w14:textId="54C8633B" w:rsidR="000B3609" w:rsidRPr="000B3609" w:rsidRDefault="000B3609" w:rsidP="008B0764">
              <w:r w:rsidRPr="000B3609">
                <w:rPr>
                  <w:rFonts w:eastAsia="Aptos"/>
                  <w:color w:val="auto"/>
                  <w:kern w:val="2"/>
                  <w14:ligatures w14:val="standardContextual"/>
                </w:rPr>
                <w:t xml:space="preserve">Το </w:t>
              </w:r>
              <w:hyperlink r:id="rId10" w:history="1">
                <w:r w:rsidR="008B0764" w:rsidRPr="008B0764">
                  <w:rPr>
                    <w:rStyle w:val="-"/>
                    <w:rFonts w:eastAsia="Aptos"/>
                    <w:kern w:val="2"/>
                    <w:lang w:val="en-US"/>
                    <w14:ligatures w14:val="standardContextual"/>
                  </w:rPr>
                  <w:t>European</w:t>
                </w:r>
                <w:r w:rsidRPr="008B0764">
                  <w:rPr>
                    <w:rStyle w:val="-"/>
                    <w:rFonts w:eastAsia="Aptos"/>
                    <w:kern w:val="2"/>
                    <w14:ligatures w14:val="standardContextual"/>
                  </w:rPr>
                  <w:t xml:space="preserve"> </w:t>
                </w:r>
                <w:r w:rsidRPr="000B3609">
                  <w:rPr>
                    <w:rStyle w:val="-"/>
                    <w:rFonts w:eastAsia="Aptos"/>
                    <w:kern w:val="2"/>
                    <w14:ligatures w14:val="standardContextual"/>
                  </w:rPr>
                  <w:t>D</w:t>
                </w:r>
                <w:r w:rsidRPr="008B0764">
                  <w:rPr>
                    <w:rStyle w:val="-"/>
                    <w:rFonts w:eastAsia="Aptos"/>
                    <w:kern w:val="2"/>
                    <w:lang w:val="en-US"/>
                    <w14:ligatures w14:val="standardContextual"/>
                  </w:rPr>
                  <w:t>isability</w:t>
                </w:r>
                <w:r w:rsidRPr="008B0764">
                  <w:rPr>
                    <w:rStyle w:val="-"/>
                    <w:rFonts w:eastAsia="Aptos"/>
                    <w:kern w:val="2"/>
                    <w14:ligatures w14:val="standardContextual"/>
                  </w:rPr>
                  <w:t xml:space="preserve"> </w:t>
                </w:r>
                <w:r w:rsidRPr="000B3609">
                  <w:rPr>
                    <w:rStyle w:val="-"/>
                    <w:rFonts w:eastAsia="Aptos"/>
                    <w:kern w:val="2"/>
                    <w14:ligatures w14:val="standardContextual"/>
                  </w:rPr>
                  <w:t>F</w:t>
                </w:r>
                <w:r w:rsidRPr="008B0764">
                  <w:rPr>
                    <w:rStyle w:val="-"/>
                    <w:rFonts w:eastAsia="Aptos"/>
                    <w:kern w:val="2"/>
                    <w:lang w:val="en-US"/>
                    <w14:ligatures w14:val="standardContextual"/>
                  </w:rPr>
                  <w:t>orum</w:t>
                </w:r>
              </w:hyperlink>
              <w:r w:rsidRPr="000B3609">
                <w:rPr>
                  <w:rFonts w:eastAsia="Aptos"/>
                  <w:color w:val="auto"/>
                  <w:kern w:val="2"/>
                  <w14:ligatures w14:val="standardContextual"/>
                </w:rPr>
                <w:t xml:space="preserve"> αφιέρωσε την Έκθεση Ανθρωπίνων Δικαιωμάτων του 2020 στο ζήτημα της φτώχειας και του κοινωνικού αποκλεισμού που αντιμετωπίζουν τα άτομα με αναπηρία. Η έκθεση βασίστηκε σε δεδομένα σε επίπεδο ΕΕ από το 2018</w:t>
              </w:r>
              <w:r w:rsidR="005E00A5">
                <w:rPr>
                  <w:rFonts w:eastAsia="Aptos"/>
                  <w:color w:val="auto"/>
                  <w:kern w:val="2"/>
                  <w14:ligatures w14:val="standardContextual"/>
                </w:rPr>
                <w:t>.</w:t>
              </w:r>
            </w:p>
            <w:p w14:paraId="12C12100" w14:textId="13C08915" w:rsidR="000B3609" w:rsidRPr="000B3609" w:rsidRDefault="000B3609" w:rsidP="008B0764">
              <w:pPr>
                <w:spacing w:after="160" w:line="259" w:lineRule="auto"/>
                <w:rPr>
                  <w:rFonts w:eastAsia="Aptos"/>
                  <w:color w:val="auto"/>
                  <w:kern w:val="2"/>
                  <w14:ligatures w14:val="standardContextual"/>
                </w:rPr>
              </w:pPr>
              <w:r w:rsidRPr="000B3609">
                <w:rPr>
                  <w:rFonts w:eastAsia="Aptos"/>
                  <w:color w:val="auto"/>
                  <w:kern w:val="2"/>
                  <w14:ligatures w14:val="standardContextual"/>
                </w:rPr>
                <w:t>Η φτώχεια και ο κοινωνικός αποκλεισμός αποτελούσαν ήδη μείζονα ζητήματα για τα άτομα με αναπηρία στην Ευρώπη</w:t>
              </w:r>
              <w:r w:rsidR="005E00A5">
                <w:rPr>
                  <w:rFonts w:eastAsia="Aptos"/>
                  <w:color w:val="auto"/>
                  <w:kern w:val="2"/>
                  <w14:ligatures w14:val="standardContextual"/>
                </w:rPr>
                <w:t xml:space="preserve">. </w:t>
              </w:r>
              <w:r w:rsidRPr="000B3609">
                <w:rPr>
                  <w:rFonts w:eastAsia="Aptos"/>
                  <w:color w:val="auto"/>
                  <w:kern w:val="2"/>
                  <w14:ligatures w14:val="standardContextual"/>
                </w:rPr>
                <w:t>Αυτά τα ζητήματα μεγεθύνθηκαν από τη θανατηφόρα παγκόσμια πανδημία και τον πόλεμο κατά της Ουκρανίας από τη Ρωσία. Εκτός από τις καταστροφικές επιπτώσεις που είχαν στη ζωή αμέτρητων ανθρώπων, προκάλεσαν επίσης απότομο πληθωρισμό και κρίση κόστους ζωής.</w:t>
              </w:r>
            </w:p>
            <w:p w14:paraId="161BBE0A" w14:textId="33BF1036" w:rsidR="000B3609" w:rsidRPr="000B3609" w:rsidRDefault="000B3609" w:rsidP="008B0764">
              <w:pPr>
                <w:spacing w:after="160" w:line="259" w:lineRule="auto"/>
                <w:rPr>
                  <w:rFonts w:eastAsia="Aptos"/>
                  <w:b/>
                  <w:bCs/>
                  <w:color w:val="auto"/>
                  <w:kern w:val="2"/>
                  <w14:ligatures w14:val="standardContextual"/>
                </w:rPr>
              </w:pPr>
              <w:r w:rsidRPr="000B3609">
                <w:rPr>
                  <w:rFonts w:eastAsia="Aptos"/>
                  <w:b/>
                  <w:bCs/>
                  <w:color w:val="auto"/>
                  <w:kern w:val="2"/>
                  <w14:ligatures w14:val="standardContextual"/>
                </w:rPr>
                <w:t xml:space="preserve">Σταθερά </w:t>
              </w:r>
              <w:r w:rsidR="008B0764">
                <w:rPr>
                  <w:rFonts w:eastAsia="Aptos"/>
                  <w:b/>
                  <w:bCs/>
                  <w:color w:val="auto"/>
                  <w:kern w:val="2"/>
                  <w14:ligatures w14:val="standardContextual"/>
                </w:rPr>
                <w:t xml:space="preserve">τα </w:t>
              </w:r>
              <w:r w:rsidRPr="000B3609">
                <w:rPr>
                  <w:rFonts w:eastAsia="Aptos"/>
                  <w:b/>
                  <w:bCs/>
                  <w:color w:val="auto"/>
                  <w:kern w:val="2"/>
                  <w14:ligatures w14:val="standardContextual"/>
                </w:rPr>
                <w:t xml:space="preserve">ποσοστά φτώχειας από το 2018 - το χάσμα </w:t>
              </w:r>
              <w:r w:rsidR="008B0764">
                <w:rPr>
                  <w:rFonts w:eastAsia="Aptos"/>
                  <w:b/>
                  <w:bCs/>
                  <w:color w:val="auto"/>
                  <w:kern w:val="2"/>
                  <w14:ligatures w14:val="standardContextual"/>
                </w:rPr>
                <w:t xml:space="preserve">όμως </w:t>
              </w:r>
              <w:r w:rsidRPr="000B3609">
                <w:rPr>
                  <w:rFonts w:eastAsia="Aptos"/>
                  <w:b/>
                  <w:bCs/>
                  <w:color w:val="auto"/>
                  <w:kern w:val="2"/>
                  <w14:ligatures w14:val="standardContextual"/>
                </w:rPr>
                <w:t>παραμένει</w:t>
              </w:r>
            </w:p>
            <w:p w14:paraId="41565296" w14:textId="5980135D" w:rsidR="000B3609" w:rsidRPr="000B3609" w:rsidRDefault="000B3609" w:rsidP="008B0764">
              <w:pPr>
                <w:spacing w:after="160" w:line="259" w:lineRule="auto"/>
                <w:rPr>
                  <w:rFonts w:eastAsia="Aptos"/>
                  <w:color w:val="auto"/>
                  <w:kern w:val="2"/>
                  <w14:ligatures w14:val="standardContextual"/>
                </w:rPr>
              </w:pPr>
              <w:r w:rsidRPr="000B3609">
                <w:rPr>
                  <w:rFonts w:eastAsia="Aptos"/>
                  <w:color w:val="auto"/>
                  <w:kern w:val="2"/>
                  <w14:ligatures w14:val="standardContextual"/>
                </w:rPr>
                <w:t xml:space="preserve">Η νέα </w:t>
              </w:r>
              <w:hyperlink r:id="rId11" w:history="1">
                <w:r w:rsidRPr="000B3609">
                  <w:rPr>
                    <w:rFonts w:eastAsia="Aptos"/>
                    <w:color w:val="467886"/>
                    <w:kern w:val="2"/>
                    <w:u w:val="single"/>
                    <w14:ligatures w14:val="standardContextual"/>
                  </w:rPr>
                  <w:t>βάση δεδομένων της Eurostat</w:t>
                </w:r>
              </w:hyperlink>
              <w:r w:rsidRPr="000B3609">
                <w:rPr>
                  <w:rFonts w:eastAsia="Aptos"/>
                  <w:color w:val="auto"/>
                  <w:kern w:val="2"/>
                  <w14:ligatures w14:val="standardContextual"/>
                </w:rPr>
                <w:t xml:space="preserve"> για την αναπηρία επιτρέπει να συγκρίνουμε τα ποσοστά φτώχειας από το 2023 και το 2018.</w:t>
              </w:r>
            </w:p>
            <w:p w14:paraId="27AB0CE0" w14:textId="53402AFC" w:rsidR="000B3609" w:rsidRPr="008B0764" w:rsidRDefault="005E00A5" w:rsidP="008B0764">
              <w:pPr>
                <w:pStyle w:val="a9"/>
                <w:numPr>
                  <w:ilvl w:val="0"/>
                  <w:numId w:val="34"/>
                </w:numPr>
                <w:spacing w:after="160" w:line="259" w:lineRule="auto"/>
                <w:rPr>
                  <w:rFonts w:eastAsia="Aptos"/>
                  <w:color w:val="auto"/>
                  <w:kern w:val="2"/>
                  <w14:ligatures w14:val="standardContextual"/>
                </w:rPr>
              </w:pPr>
              <w:r>
                <w:rPr>
                  <w:rFonts w:eastAsia="Aptos"/>
                  <w:color w:val="auto"/>
                  <w:kern w:val="2"/>
                  <w14:ligatures w14:val="standardContextual"/>
                </w:rPr>
                <w:t>Τ</w:t>
              </w:r>
              <w:r w:rsidR="000B3609" w:rsidRPr="008B0764">
                <w:rPr>
                  <w:rFonts w:eastAsia="Aptos"/>
                  <w:color w:val="auto"/>
                  <w:kern w:val="2"/>
                  <w14:ligatures w14:val="standardContextual"/>
                </w:rPr>
                <w:t>ο μέσο ποσοστό των ατόμων με αναπηρία στην ΕΕ που αντιμετωπίζουν κίνδυνο φτώχειας και κοινωνικού αποκλεισμού δεν έχει αυξηθεί, παρά τις κοινωνικοοικονομικές προκλήσεις που αντιμετωπίζει η Ευρώπη.</w:t>
              </w:r>
            </w:p>
            <w:p w14:paraId="6819B2AE" w14:textId="77777777" w:rsidR="000B3609" w:rsidRPr="008B0764" w:rsidRDefault="000B3609" w:rsidP="008B0764">
              <w:pPr>
                <w:pStyle w:val="a9"/>
                <w:numPr>
                  <w:ilvl w:val="0"/>
                  <w:numId w:val="34"/>
                </w:numPr>
                <w:spacing w:after="160" w:line="259" w:lineRule="auto"/>
                <w:rPr>
                  <w:rFonts w:eastAsia="Aptos"/>
                  <w:color w:val="auto"/>
                  <w:kern w:val="2"/>
                  <w14:ligatures w14:val="standardContextual"/>
                </w:rPr>
              </w:pPr>
              <w:r w:rsidRPr="008B0764">
                <w:rPr>
                  <w:rFonts w:eastAsia="Aptos"/>
                  <w:color w:val="auto"/>
                  <w:kern w:val="2"/>
                  <w14:ligatures w14:val="standardContextual"/>
                </w:rPr>
                <w:t xml:space="preserve">Το ποσοστό των ατόμων με αναπηρία που διατρέχουν κίνδυνο φτώχειας </w:t>
              </w:r>
              <w:hyperlink r:id="rId12" w:history="1">
                <w:r w:rsidRPr="008B0764">
                  <w:rPr>
                    <w:rFonts w:eastAsia="Aptos"/>
                    <w:color w:val="467886"/>
                    <w:kern w:val="2"/>
                    <w:u w:val="single"/>
                    <w14:ligatures w14:val="standardContextual"/>
                  </w:rPr>
                  <w:t>μειώθηκε πολύ ελαφρά από 29,3% σε 28,8%.</w:t>
                </w:r>
              </w:hyperlink>
            </w:p>
            <w:p w14:paraId="3CE8BE17" w14:textId="77777777" w:rsidR="000B3609" w:rsidRPr="008B0764" w:rsidRDefault="000B3609" w:rsidP="008B0764">
              <w:pPr>
                <w:pStyle w:val="a9"/>
                <w:numPr>
                  <w:ilvl w:val="0"/>
                  <w:numId w:val="34"/>
                </w:numPr>
                <w:spacing w:after="160" w:line="259" w:lineRule="auto"/>
                <w:rPr>
                  <w:rFonts w:eastAsia="Aptos"/>
                  <w:color w:val="auto"/>
                  <w:kern w:val="2"/>
                  <w14:ligatures w14:val="standardContextual"/>
                </w:rPr>
              </w:pPr>
              <w:r w:rsidRPr="008B0764">
                <w:rPr>
                  <w:rFonts w:eastAsia="Aptos"/>
                  <w:color w:val="auto"/>
                  <w:kern w:val="2"/>
                  <w14:ligatures w14:val="standardContextual"/>
                </w:rPr>
                <w:t>Το 28,8% των ατόμων με αναπηρία στην ΕΕ που διατρέχουν κίνδυνο φτώχειας εξακολουθεί να αποτελεί εντυπωσιακό στατιστικό στοιχείο και υπογραμμίζει πόσο πιο δύσκολο είναι για τα άτομα με αναπηρία να τα βγάλουν πέρα.</w:t>
              </w:r>
            </w:p>
            <w:p w14:paraId="47D13C04" w14:textId="77777777" w:rsidR="000B3609" w:rsidRPr="008B0764" w:rsidRDefault="000B3609" w:rsidP="008B0764">
              <w:pPr>
                <w:pStyle w:val="a9"/>
                <w:numPr>
                  <w:ilvl w:val="0"/>
                  <w:numId w:val="34"/>
                </w:numPr>
                <w:spacing w:after="160" w:line="259" w:lineRule="auto"/>
                <w:rPr>
                  <w:rFonts w:eastAsia="Aptos"/>
                  <w:color w:val="auto"/>
                  <w:kern w:val="2"/>
                  <w14:ligatures w14:val="standardContextual"/>
                </w:rPr>
              </w:pPr>
              <w:r w:rsidRPr="008B0764">
                <w:rPr>
                  <w:rFonts w:eastAsia="Aptos"/>
                  <w:color w:val="auto"/>
                  <w:kern w:val="2"/>
                  <w14:ligatures w14:val="standardContextual"/>
                </w:rPr>
                <w:t>Εξακολουθεί να υπάρχει μεγάλο χάσμα: το 18% των ατόμων χωρίς αναπηρία διατρέχουν κίνδυνο φτώχειας - εξακολουθεί να υπάρχει διαφορά 10 ποσοστιαίων μονάδων μεταξύ των ατόμων με και χωρίς αναπηρία.</w:t>
              </w:r>
            </w:p>
            <w:p w14:paraId="40F8401E" w14:textId="77777777" w:rsidR="000B3609" w:rsidRPr="000B3609" w:rsidRDefault="000B3609" w:rsidP="008B0764">
              <w:pPr>
                <w:spacing w:after="160" w:line="259" w:lineRule="auto"/>
                <w:rPr>
                  <w:rFonts w:eastAsia="Aptos"/>
                  <w:b/>
                  <w:bCs/>
                  <w:color w:val="auto"/>
                  <w:kern w:val="2"/>
                  <w14:ligatures w14:val="standardContextual"/>
                </w:rPr>
              </w:pPr>
              <w:r w:rsidRPr="000B3609">
                <w:rPr>
                  <w:rFonts w:eastAsia="Aptos"/>
                  <w:b/>
                  <w:bCs/>
                  <w:color w:val="auto"/>
                  <w:kern w:val="2"/>
                  <w14:ligatures w14:val="standardContextual"/>
                </w:rPr>
                <w:t>Βελτιώσεις σε ορισμένες χώρες</w:t>
              </w:r>
            </w:p>
            <w:p w14:paraId="5F91824B" w14:textId="7479182E" w:rsidR="000B3609" w:rsidRPr="000B3609" w:rsidRDefault="000B3609" w:rsidP="008B0764">
              <w:pPr>
                <w:spacing w:after="160" w:line="259" w:lineRule="auto"/>
                <w:rPr>
                  <w:rFonts w:eastAsia="Aptos"/>
                  <w:color w:val="auto"/>
                  <w:kern w:val="2"/>
                  <w14:ligatures w14:val="standardContextual"/>
                </w:rPr>
              </w:pPr>
              <w:r w:rsidRPr="000B3609">
                <w:rPr>
                  <w:rFonts w:eastAsia="Aptos"/>
                  <w:color w:val="auto"/>
                  <w:kern w:val="2"/>
                  <w14:ligatures w14:val="standardContextual"/>
                </w:rPr>
                <w:t>Ορισμένα από τα κράτη μέλη που επισημάναμε στην έκθεσή μας του 2020 ότι έχουν ιδιαίτερα υψηλά ποσοστά φτώχειας για τα άτομα με αναπηρία έχουν σημειώσει σημαντική πρόοδο.</w:t>
              </w:r>
            </w:p>
            <w:p w14:paraId="0F3A11BE" w14:textId="77777777" w:rsidR="008B0764" w:rsidRDefault="000B3609" w:rsidP="008B0764">
              <w:pPr>
                <w:spacing w:after="160" w:line="259" w:lineRule="auto"/>
                <w:rPr>
                  <w:rFonts w:eastAsia="Aptos"/>
                  <w:color w:val="auto"/>
                  <w:kern w:val="2"/>
                  <w14:ligatures w14:val="standardContextual"/>
                </w:rPr>
              </w:pPr>
              <w:r w:rsidRPr="000B3609">
                <w:rPr>
                  <w:rFonts w:eastAsia="Aptos"/>
                  <w:color w:val="auto"/>
                  <w:kern w:val="2"/>
                  <w14:ligatures w14:val="standardContextual"/>
                </w:rPr>
                <w:t>Η Βουλγαρία και η Ρουμανία κατάφεραν να μειώσουν σημαντικά τα ποσοστά φτώχειας:</w:t>
              </w:r>
            </w:p>
            <w:p w14:paraId="7E088168" w14:textId="268674C3" w:rsidR="000B3609" w:rsidRPr="008B0764" w:rsidRDefault="000B3609" w:rsidP="008B0764">
              <w:pPr>
                <w:pStyle w:val="a9"/>
                <w:numPr>
                  <w:ilvl w:val="0"/>
                  <w:numId w:val="35"/>
                </w:numPr>
                <w:spacing w:after="160" w:line="259" w:lineRule="auto"/>
                <w:rPr>
                  <w:rFonts w:eastAsia="Aptos"/>
                  <w:color w:val="auto"/>
                  <w:kern w:val="2"/>
                  <w14:ligatures w14:val="standardContextual"/>
                </w:rPr>
              </w:pPr>
              <w:r w:rsidRPr="008B0764">
                <w:rPr>
                  <w:rFonts w:eastAsia="Aptos"/>
                  <w:color w:val="auto"/>
                  <w:kern w:val="2"/>
                  <w14:ligatures w14:val="standardContextual"/>
                </w:rPr>
                <w:t>Το ποσοστό φτώχειας στη Βουλγαρία για τα άτομα με αναπηρία μειώθηκε από 50,1% σε 42,2%.</w:t>
              </w:r>
            </w:p>
            <w:p w14:paraId="27596858" w14:textId="77777777" w:rsidR="000B3609" w:rsidRPr="008B0764" w:rsidRDefault="000B3609" w:rsidP="008B0764">
              <w:pPr>
                <w:pStyle w:val="a9"/>
                <w:numPr>
                  <w:ilvl w:val="0"/>
                  <w:numId w:val="35"/>
                </w:numPr>
                <w:spacing w:after="160" w:line="259" w:lineRule="auto"/>
                <w:rPr>
                  <w:rFonts w:eastAsia="Aptos"/>
                  <w:color w:val="auto"/>
                  <w:kern w:val="2"/>
                  <w14:ligatures w14:val="standardContextual"/>
                </w:rPr>
              </w:pPr>
              <w:r w:rsidRPr="008B0764">
                <w:rPr>
                  <w:rFonts w:eastAsia="Aptos"/>
                  <w:color w:val="auto"/>
                  <w:kern w:val="2"/>
                  <w14:ligatures w14:val="standardContextual"/>
                </w:rPr>
                <w:t>Στη Ρουμανία, μειώθηκε από 46,5% σε 39,4%.</w:t>
              </w:r>
            </w:p>
            <w:p w14:paraId="2C04D1A9" w14:textId="77777777" w:rsidR="000B3609" w:rsidRPr="000B3609" w:rsidRDefault="000B3609" w:rsidP="008B0764">
              <w:pPr>
                <w:spacing w:after="160" w:line="259" w:lineRule="auto"/>
                <w:rPr>
                  <w:rFonts w:eastAsia="Aptos"/>
                  <w:color w:val="auto"/>
                  <w:kern w:val="2"/>
                  <w14:ligatures w14:val="standardContextual"/>
                </w:rPr>
              </w:pPr>
              <w:r w:rsidRPr="000B3609">
                <w:rPr>
                  <w:rFonts w:eastAsia="Aptos"/>
                  <w:color w:val="auto"/>
                  <w:kern w:val="2"/>
                  <w14:ligatures w14:val="standardContextual"/>
                </w:rPr>
                <w:t>Τα κράτη μέλη της Βαλτικής, τα οποία έχουν επίσης υψηλά ποσοστά φτώχειας και κοινωνικού αποκλεισμού, παρουσίασαν σημαντική - αν και πιο μέτρια - πρόοδο:</w:t>
              </w:r>
            </w:p>
            <w:p w14:paraId="4FEC0421" w14:textId="77777777" w:rsidR="000B3609" w:rsidRPr="008B0764" w:rsidRDefault="000B3609" w:rsidP="008B0764">
              <w:pPr>
                <w:pStyle w:val="a9"/>
                <w:numPr>
                  <w:ilvl w:val="0"/>
                  <w:numId w:val="36"/>
                </w:numPr>
                <w:spacing w:after="160" w:line="259" w:lineRule="auto"/>
                <w:rPr>
                  <w:rFonts w:eastAsia="Aptos"/>
                  <w:color w:val="auto"/>
                  <w:kern w:val="2"/>
                  <w14:ligatures w14:val="standardContextual"/>
                </w:rPr>
              </w:pPr>
              <w:r w:rsidRPr="008B0764">
                <w:rPr>
                  <w:rFonts w:eastAsia="Aptos"/>
                  <w:color w:val="auto"/>
                  <w:kern w:val="2"/>
                  <w14:ligatures w14:val="standardContextual"/>
                </w:rPr>
                <w:lastRenderedPageBreak/>
                <w:t>Στη Λιθουανία, τα ποσοστά μειώθηκαν από 45,2% σε 42,7%.</w:t>
              </w:r>
            </w:p>
            <w:p w14:paraId="2C67479F" w14:textId="77777777" w:rsidR="000B3609" w:rsidRPr="008B0764" w:rsidRDefault="000B3609" w:rsidP="008B0764">
              <w:pPr>
                <w:pStyle w:val="a9"/>
                <w:numPr>
                  <w:ilvl w:val="0"/>
                  <w:numId w:val="36"/>
                </w:numPr>
                <w:spacing w:after="160" w:line="259" w:lineRule="auto"/>
                <w:rPr>
                  <w:rFonts w:eastAsia="Aptos"/>
                  <w:color w:val="auto"/>
                  <w:kern w:val="2"/>
                  <w14:ligatures w14:val="standardContextual"/>
                </w:rPr>
              </w:pPr>
              <w:r w:rsidRPr="008B0764">
                <w:rPr>
                  <w:rFonts w:eastAsia="Aptos"/>
                  <w:color w:val="auto"/>
                  <w:kern w:val="2"/>
                  <w14:ligatures w14:val="standardContextual"/>
                </w:rPr>
                <w:t>Στη Λετονία, μειώθηκαν από 44,4% σε 38,5%.</w:t>
              </w:r>
            </w:p>
            <w:p w14:paraId="11336C3E" w14:textId="77777777" w:rsidR="000B3609" w:rsidRPr="008B0764" w:rsidRDefault="000B3609" w:rsidP="008B0764">
              <w:pPr>
                <w:pStyle w:val="a9"/>
                <w:numPr>
                  <w:ilvl w:val="0"/>
                  <w:numId w:val="36"/>
                </w:numPr>
                <w:spacing w:after="160" w:line="259" w:lineRule="auto"/>
                <w:rPr>
                  <w:rFonts w:eastAsia="Aptos"/>
                  <w:color w:val="auto"/>
                  <w:kern w:val="2"/>
                  <w14:ligatures w14:val="standardContextual"/>
                </w:rPr>
              </w:pPr>
              <w:r w:rsidRPr="008B0764">
                <w:rPr>
                  <w:rFonts w:eastAsia="Aptos"/>
                  <w:color w:val="auto"/>
                  <w:kern w:val="2"/>
                  <w14:ligatures w14:val="standardContextual"/>
                </w:rPr>
                <w:t>Το 2018, η Ιρλανδία ξεχώρισε ως χώρα με ιδιαίτερα υψηλό κίνδυνο φτώχειας και κοινωνικού αποκλεισμού για τα άτομα με αναπηρία. Μειώθηκε από 38,2% σε 32,7%.</w:t>
              </w:r>
            </w:p>
            <w:p w14:paraId="40CBAFD4" w14:textId="3A7D4ABB" w:rsidR="000B3609" w:rsidRPr="000B3609" w:rsidRDefault="008B0764" w:rsidP="008B0764">
              <w:pPr>
                <w:spacing w:after="160" w:line="259" w:lineRule="auto"/>
                <w:rPr>
                  <w:rFonts w:eastAsia="Aptos"/>
                  <w:b/>
                  <w:bCs/>
                  <w:color w:val="auto"/>
                  <w:kern w:val="2"/>
                  <w14:ligatures w14:val="standardContextual"/>
                </w:rPr>
              </w:pPr>
              <w:r>
                <w:rPr>
                  <w:rFonts w:eastAsia="Aptos"/>
                  <w:b/>
                  <w:bCs/>
                  <w:color w:val="auto"/>
                  <w:kern w:val="2"/>
                  <w14:ligatures w14:val="standardContextual"/>
                </w:rPr>
                <w:t>Σε δ</w:t>
              </w:r>
              <w:r w:rsidR="000B3609" w:rsidRPr="000B3609">
                <w:rPr>
                  <w:rFonts w:eastAsia="Aptos"/>
                  <w:b/>
                  <w:bCs/>
                  <w:color w:val="auto"/>
                  <w:kern w:val="2"/>
                  <w14:ligatures w14:val="standardContextual"/>
                </w:rPr>
                <w:t xml:space="preserve">εκατρείς χώρες </w:t>
              </w:r>
              <w:r>
                <w:rPr>
                  <w:rFonts w:eastAsia="Aptos"/>
                  <w:b/>
                  <w:bCs/>
                  <w:color w:val="auto"/>
                  <w:kern w:val="2"/>
                  <w14:ligatures w14:val="standardContextual"/>
                </w:rPr>
                <w:t xml:space="preserve">η κατάσταση </w:t>
              </w:r>
              <w:r w:rsidR="005E00A5">
                <w:rPr>
                  <w:rFonts w:eastAsia="Aptos"/>
                  <w:b/>
                  <w:bCs/>
                  <w:color w:val="auto"/>
                  <w:kern w:val="2"/>
                  <w14:ligatures w14:val="standardContextual"/>
                </w:rPr>
                <w:t xml:space="preserve">έχει χειροτερεύσει </w:t>
              </w:r>
            </w:p>
            <w:p w14:paraId="61253526" w14:textId="73A8BB2D" w:rsidR="000B3609" w:rsidRPr="000B3609" w:rsidRDefault="000B3609" w:rsidP="008B0764">
              <w:pPr>
                <w:spacing w:after="160" w:line="259" w:lineRule="auto"/>
                <w:rPr>
                  <w:rFonts w:eastAsia="Aptos"/>
                  <w:color w:val="auto"/>
                  <w:kern w:val="2"/>
                  <w14:ligatures w14:val="standardContextual"/>
                </w:rPr>
              </w:pPr>
              <w:r w:rsidRPr="000B3609">
                <w:rPr>
                  <w:rFonts w:eastAsia="Aptos"/>
                  <w:color w:val="auto"/>
                  <w:kern w:val="2"/>
                  <w14:ligatures w14:val="standardContextual"/>
                </w:rPr>
                <w:t>Δεκατρία κράτη μέλη της ΕΕ έχουν δει αύξηση του κινδύνου φτώχειας και κοινωνικού αποκλεισμού των ατόμων με αναπηρία. Αυτά τα κράτη μέλη είναι η Δανία</w:t>
              </w:r>
              <w:r w:rsidRPr="000B3609">
                <w:rPr>
                  <w:rFonts w:eastAsia="Aptos"/>
                  <w:b/>
                  <w:bCs/>
                  <w:color w:val="auto"/>
                  <w:kern w:val="2"/>
                  <w14:ligatures w14:val="standardContextual"/>
                </w:rPr>
                <w:t>, η Ελλάδα</w:t>
              </w:r>
              <w:r w:rsidRPr="000B3609">
                <w:rPr>
                  <w:rFonts w:eastAsia="Aptos"/>
                  <w:color w:val="auto"/>
                  <w:kern w:val="2"/>
                  <w14:ligatures w14:val="standardContextual"/>
                </w:rPr>
                <w:t>, η Γαλλία, η Κροατία, η Κύπρος, το Λουξεμβούργο, η Ουγγαρία, η Μάλτα, οι Κάτω Χώρες, η Αυστρία, η Σλοβενία, η Σλοβακία και η Σουηδία.</w:t>
              </w:r>
            </w:p>
            <w:p w14:paraId="6B74EA8A" w14:textId="77777777" w:rsidR="000B3609" w:rsidRPr="000B3609" w:rsidRDefault="000B3609" w:rsidP="008B0764">
              <w:pPr>
                <w:spacing w:after="160" w:line="259" w:lineRule="auto"/>
                <w:rPr>
                  <w:rFonts w:eastAsia="Aptos"/>
                  <w:color w:val="auto"/>
                  <w:kern w:val="2"/>
                  <w14:ligatures w14:val="standardContextual"/>
                </w:rPr>
              </w:pPr>
              <w:r w:rsidRPr="000B3609">
                <w:rPr>
                  <w:rFonts w:eastAsia="Aptos"/>
                  <w:color w:val="auto"/>
                  <w:kern w:val="2"/>
                  <w14:ligatures w14:val="standardContextual"/>
                </w:rPr>
                <w:t>Σε ορισμένες περιπτώσεις, η αύξηση ήταν αρκετά αισθητή:</w:t>
              </w:r>
            </w:p>
            <w:p w14:paraId="7F569402" w14:textId="77777777" w:rsidR="000B3609" w:rsidRPr="008B0764" w:rsidRDefault="000B3609" w:rsidP="008B0764">
              <w:pPr>
                <w:pStyle w:val="a9"/>
                <w:numPr>
                  <w:ilvl w:val="0"/>
                  <w:numId w:val="37"/>
                </w:numPr>
                <w:spacing w:after="160" w:line="259" w:lineRule="auto"/>
                <w:rPr>
                  <w:rFonts w:eastAsia="Aptos"/>
                  <w:color w:val="auto"/>
                  <w:kern w:val="2"/>
                  <w14:ligatures w14:val="standardContextual"/>
                </w:rPr>
              </w:pPr>
              <w:r w:rsidRPr="008B0764">
                <w:rPr>
                  <w:rFonts w:eastAsia="Aptos"/>
                  <w:color w:val="auto"/>
                  <w:kern w:val="2"/>
                  <w14:ligatures w14:val="standardContextual"/>
                </w:rPr>
                <w:t>Στη Γαλλία, το ποσοστό φτώχειας αυξήθηκε από 21,9% σε 27%.</w:t>
              </w:r>
            </w:p>
            <w:p w14:paraId="377915E0" w14:textId="77777777" w:rsidR="000B3609" w:rsidRPr="008B0764" w:rsidRDefault="000B3609" w:rsidP="008B0764">
              <w:pPr>
                <w:pStyle w:val="a9"/>
                <w:numPr>
                  <w:ilvl w:val="0"/>
                  <w:numId w:val="37"/>
                </w:numPr>
                <w:spacing w:after="160" w:line="259" w:lineRule="auto"/>
                <w:rPr>
                  <w:rFonts w:eastAsia="Aptos"/>
                  <w:color w:val="auto"/>
                  <w:kern w:val="2"/>
                  <w14:ligatures w14:val="standardContextual"/>
                </w:rPr>
              </w:pPr>
              <w:r w:rsidRPr="008B0764">
                <w:rPr>
                  <w:rFonts w:eastAsia="Aptos"/>
                  <w:color w:val="auto"/>
                  <w:kern w:val="2"/>
                  <w14:ligatures w14:val="standardContextual"/>
                </w:rPr>
                <w:t>Στην Κροατία, αυξήθηκε από 33,4% σε 37,5%.</w:t>
              </w:r>
            </w:p>
            <w:p w14:paraId="3B4903AC" w14:textId="77777777" w:rsidR="000B3609" w:rsidRPr="008B0764" w:rsidRDefault="000B3609" w:rsidP="008B0764">
              <w:pPr>
                <w:pStyle w:val="a9"/>
                <w:numPr>
                  <w:ilvl w:val="0"/>
                  <w:numId w:val="37"/>
                </w:numPr>
                <w:spacing w:after="160" w:line="259" w:lineRule="auto"/>
                <w:rPr>
                  <w:rFonts w:eastAsia="Aptos"/>
                  <w:color w:val="auto"/>
                  <w:kern w:val="2"/>
                  <w14:ligatures w14:val="standardContextual"/>
                </w:rPr>
              </w:pPr>
              <w:r w:rsidRPr="008B0764">
                <w:rPr>
                  <w:rFonts w:eastAsia="Aptos"/>
                  <w:color w:val="auto"/>
                  <w:kern w:val="2"/>
                  <w14:ligatures w14:val="standardContextual"/>
                </w:rPr>
                <w:t>Στην Ουγγαρία, η αύξηση ήταν από 28,8% σε 32,4%.</w:t>
              </w:r>
            </w:p>
            <w:p w14:paraId="7B1EBA64" w14:textId="77777777" w:rsidR="000B3609" w:rsidRPr="008B0764" w:rsidRDefault="000B3609" w:rsidP="008B0764">
              <w:pPr>
                <w:pStyle w:val="a9"/>
                <w:numPr>
                  <w:ilvl w:val="0"/>
                  <w:numId w:val="37"/>
                </w:numPr>
                <w:spacing w:after="160" w:line="259" w:lineRule="auto"/>
                <w:rPr>
                  <w:rFonts w:eastAsia="Aptos"/>
                  <w:color w:val="auto"/>
                  <w:kern w:val="2"/>
                  <w14:ligatures w14:val="standardContextual"/>
                </w:rPr>
              </w:pPr>
              <w:r w:rsidRPr="008B0764">
                <w:rPr>
                  <w:rFonts w:eastAsia="Aptos"/>
                  <w:color w:val="auto"/>
                  <w:kern w:val="2"/>
                  <w14:ligatures w14:val="standardContextual"/>
                </w:rPr>
                <w:t>Στις Κάτω Χώρες, αυξήθηκε από 22,5% σε 25,5%.</w:t>
              </w:r>
            </w:p>
            <w:p w14:paraId="64E19785" w14:textId="77777777" w:rsidR="000B3609" w:rsidRPr="000B3609" w:rsidRDefault="000B3609" w:rsidP="008B0764">
              <w:pPr>
                <w:spacing w:after="160" w:line="259" w:lineRule="auto"/>
                <w:rPr>
                  <w:rFonts w:eastAsia="Aptos"/>
                  <w:b/>
                  <w:bCs/>
                  <w:color w:val="auto"/>
                  <w:kern w:val="2"/>
                  <w14:ligatures w14:val="standardContextual"/>
                </w:rPr>
              </w:pPr>
              <w:r w:rsidRPr="000B3609">
                <w:rPr>
                  <w:rFonts w:eastAsia="Aptos"/>
                  <w:b/>
                  <w:bCs/>
                  <w:color w:val="auto"/>
                  <w:kern w:val="2"/>
                  <w14:ligatures w14:val="standardContextual"/>
                </w:rPr>
                <w:t>Η στέγαση και η διατροφή επιβαρύνουν τους προϋπολογισμούς</w:t>
              </w:r>
            </w:p>
            <w:p w14:paraId="3D7EB9A2" w14:textId="77777777" w:rsidR="000B3609" w:rsidRPr="000B3609" w:rsidRDefault="00000000" w:rsidP="008B0764">
              <w:pPr>
                <w:spacing w:after="160" w:line="259" w:lineRule="auto"/>
                <w:rPr>
                  <w:rFonts w:eastAsia="Aptos"/>
                  <w:color w:val="auto"/>
                  <w:kern w:val="2"/>
                  <w14:ligatures w14:val="standardContextual"/>
                </w:rPr>
              </w:pPr>
              <w:hyperlink r:id="rId13" w:history="1">
                <w:r w:rsidR="000B3609" w:rsidRPr="000B3609">
                  <w:rPr>
                    <w:rFonts w:eastAsia="Aptos"/>
                    <w:color w:val="467886"/>
                    <w:kern w:val="2"/>
                    <w:u w:val="single"/>
                    <w14:ligatures w14:val="standardContextual"/>
                  </w:rPr>
                  <w:t>Η αύξηση του κόστους στέγασης</w:t>
                </w:r>
              </w:hyperlink>
              <w:r w:rsidR="000B3609" w:rsidRPr="000B3609">
                <w:rPr>
                  <w:rFonts w:eastAsia="Aptos"/>
                  <w:color w:val="auto"/>
                  <w:kern w:val="2"/>
                  <w14:ligatures w14:val="standardContextual"/>
                </w:rPr>
                <w:t xml:space="preserve"> ασκεί αυξημένη πίεση στους προϋπολογισμούς των ατόμων με αναπηρία. Η τρέχουσα στεγαστική κρίση επιδεινώνεται από την έλλειψη οικονομικά προσιτής και προσβάσιμης στέγασης. Οι δαπάνες στέγασης αντιπροσώπευαν το 30,2% του διαθέσιμου εισοδήματος το 2023, έναντι 27,4% το 2018.</w:t>
              </w:r>
            </w:p>
            <w:p w14:paraId="41A46068" w14:textId="77777777" w:rsidR="000B3609" w:rsidRPr="000B3609" w:rsidRDefault="000B3609" w:rsidP="008B0764">
              <w:pPr>
                <w:spacing w:after="160" w:line="259" w:lineRule="auto"/>
                <w:rPr>
                  <w:rFonts w:eastAsia="Aptos"/>
                  <w:color w:val="auto"/>
                  <w:kern w:val="2"/>
                  <w14:ligatures w14:val="standardContextual"/>
                </w:rPr>
              </w:pPr>
              <w:r w:rsidRPr="000B3609">
                <w:rPr>
                  <w:rFonts w:eastAsia="Aptos"/>
                  <w:color w:val="auto"/>
                  <w:kern w:val="2"/>
                  <w14:ligatures w14:val="standardContextual"/>
                </w:rPr>
                <w:t xml:space="preserve">Το κόστος των τροφίμων αποτελεί επίσης σημαντική επιβάρυνση, ιδίως λόγω του πληθωρισμού. </w:t>
              </w:r>
              <w:hyperlink r:id="rId14" w:history="1">
                <w:r w:rsidRPr="000B3609">
                  <w:rPr>
                    <w:rFonts w:eastAsia="Aptos"/>
                    <w:color w:val="467886"/>
                    <w:kern w:val="2"/>
                    <w:u w:val="single"/>
                    <w14:ligatures w14:val="standardContextual"/>
                  </w:rPr>
                  <w:t>Το 13,8 % των ατόμων με αναπηρία στην ΕΕ δεν μπορούν να αντέξουν οικονομικά ένα γεύμα</w:t>
                </w:r>
              </w:hyperlink>
              <w:r w:rsidRPr="000B3609">
                <w:rPr>
                  <w:rFonts w:eastAsia="Aptos"/>
                  <w:color w:val="auto"/>
                  <w:kern w:val="2"/>
                  <w14:ligatures w14:val="standardContextual"/>
                </w:rPr>
                <w:t xml:space="preserve"> με κρέας, κοτόπουλο, ψάρι (ή χορτοφαγικό ισοδύναμο) κάθε δεύτερη ημέρα (από 11,9 % το 2018).</w:t>
              </w:r>
            </w:p>
            <w:p w14:paraId="5A13467A" w14:textId="77777777" w:rsidR="000B3609" w:rsidRPr="000B3609" w:rsidRDefault="000B3609" w:rsidP="008B0764">
              <w:pPr>
                <w:spacing w:after="160" w:line="259" w:lineRule="auto"/>
                <w:rPr>
                  <w:rFonts w:eastAsia="Aptos"/>
                  <w:b/>
                  <w:bCs/>
                  <w:color w:val="auto"/>
                  <w:kern w:val="2"/>
                  <w14:ligatures w14:val="standardContextual"/>
                </w:rPr>
              </w:pPr>
              <w:r w:rsidRPr="000B3609">
                <w:rPr>
                  <w:rFonts w:eastAsia="Aptos"/>
                  <w:b/>
                  <w:bCs/>
                  <w:color w:val="auto"/>
                  <w:kern w:val="2"/>
                  <w14:ligatures w14:val="standardContextual"/>
                </w:rPr>
                <w:t>Συστάσεις</w:t>
              </w:r>
            </w:p>
            <w:p w14:paraId="3083A836" w14:textId="01E82A0D" w:rsidR="000B3609" w:rsidRPr="000B3609" w:rsidRDefault="00093359" w:rsidP="008B0764">
              <w:pPr>
                <w:spacing w:after="160" w:line="259" w:lineRule="auto"/>
                <w:rPr>
                  <w:rFonts w:eastAsia="Aptos"/>
                  <w:color w:val="auto"/>
                  <w:kern w:val="2"/>
                  <w14:ligatures w14:val="standardContextual"/>
                </w:rPr>
              </w:pPr>
              <w:r>
                <w:rPr>
                  <w:rFonts w:eastAsia="Aptos"/>
                  <w:color w:val="auto"/>
                  <w:kern w:val="2"/>
                  <w14:ligatures w14:val="standardContextual"/>
                </w:rPr>
                <w:t>Το ευρωπαϊκό αναπηρικό κίνημα καλεί</w:t>
              </w:r>
              <w:r w:rsidR="000B3609" w:rsidRPr="000B3609">
                <w:rPr>
                  <w:rFonts w:eastAsia="Aptos"/>
                  <w:color w:val="auto"/>
                  <w:kern w:val="2"/>
                  <w14:ligatures w14:val="standardContextual"/>
                </w:rPr>
                <w:t xml:space="preserve"> την Ευρωπαϊκή Επιτροπή να αντιμετωπίσει αυτό το ζήτημα μέσω ισχυρών και φιλόδοξων δράσεων που σχεδιάζονται ως συνέχεια της στρατηγικής της ΕΕ για τα δικαιώματα των ατόμων με αναπηρία. Κατά προτεραιότητα, η Επιτροπή πρέπει</w:t>
              </w:r>
              <w:r>
                <w:rPr>
                  <w:rFonts w:eastAsia="Aptos"/>
                  <w:color w:val="auto"/>
                  <w:kern w:val="2"/>
                  <w14:ligatures w14:val="standardContextual"/>
                </w:rPr>
                <w:t xml:space="preserve"> να προχωρήσει στους εξής τομείς</w:t>
              </w:r>
              <w:r w:rsidR="000B3609" w:rsidRPr="000B3609">
                <w:rPr>
                  <w:rFonts w:eastAsia="Aptos"/>
                  <w:color w:val="auto"/>
                  <w:kern w:val="2"/>
                  <w14:ligatures w14:val="standardContextual"/>
                </w:rPr>
                <w:t>:</w:t>
              </w:r>
            </w:p>
            <w:p w14:paraId="45D8FD0E" w14:textId="77777777" w:rsidR="000B3609" w:rsidRPr="005E00A5" w:rsidRDefault="00000000" w:rsidP="005E00A5">
              <w:pPr>
                <w:pStyle w:val="a9"/>
                <w:numPr>
                  <w:ilvl w:val="0"/>
                  <w:numId w:val="38"/>
                </w:numPr>
                <w:spacing w:after="160" w:line="259" w:lineRule="auto"/>
                <w:rPr>
                  <w:rFonts w:eastAsia="Aptos"/>
                  <w:color w:val="auto"/>
                  <w:kern w:val="2"/>
                  <w14:ligatures w14:val="standardContextual"/>
                </w:rPr>
              </w:pPr>
              <w:hyperlink r:id="rId15" w:history="1">
                <w:r w:rsidR="000B3609" w:rsidRPr="005E00A5">
                  <w:rPr>
                    <w:rFonts w:eastAsia="Aptos"/>
                    <w:color w:val="467886"/>
                    <w:kern w:val="2"/>
                    <w:u w:val="single"/>
                    <w14:ligatures w14:val="standardContextual"/>
                  </w:rPr>
                  <w:t>Θέσπιση εγγύησης για την απασχόληση και τις δεξιότητες των ατόμων με αναπηρία</w:t>
                </w:r>
              </w:hyperlink>
            </w:p>
            <w:p w14:paraId="3070C8F8" w14:textId="3F7B92CA" w:rsidR="000B3609" w:rsidRPr="005E00A5" w:rsidRDefault="000B3609" w:rsidP="005E00A5">
              <w:pPr>
                <w:pStyle w:val="a9"/>
                <w:numPr>
                  <w:ilvl w:val="0"/>
                  <w:numId w:val="38"/>
                </w:numPr>
                <w:spacing w:after="160" w:line="259" w:lineRule="auto"/>
                <w:rPr>
                  <w:rFonts w:eastAsia="Aptos"/>
                  <w:color w:val="auto"/>
                  <w:kern w:val="2"/>
                  <w14:ligatures w14:val="standardContextual"/>
                </w:rPr>
              </w:pPr>
              <w:r w:rsidRPr="005E00A5">
                <w:rPr>
                  <w:rFonts w:eastAsia="Aptos"/>
                  <w:color w:val="auto"/>
                  <w:kern w:val="2"/>
                  <w14:ligatures w14:val="standardContextual"/>
                </w:rPr>
                <w:t xml:space="preserve">Διεξαγωγή λεπτομερούς μελέτης σχετικά με το πρόσθετο κόστος </w:t>
              </w:r>
              <w:r w:rsidR="005E00A5">
                <w:rPr>
                  <w:rFonts w:eastAsia="Aptos"/>
                  <w:color w:val="auto"/>
                  <w:kern w:val="2"/>
                  <w14:ligatures w14:val="standardContextual"/>
                </w:rPr>
                <w:t>διαβίωσης των ατόμων με αναπηρία</w:t>
              </w:r>
              <w:r w:rsidRPr="005E00A5">
                <w:rPr>
                  <w:rFonts w:eastAsia="Aptos"/>
                  <w:color w:val="auto"/>
                  <w:kern w:val="2"/>
                  <w14:ligatures w14:val="standardContextual"/>
                </w:rPr>
                <w:t xml:space="preserve">: η μελέτη θα πρέπει να λαμβάνει υπόψη το πρόσθετο κόστος ζωής που αντιμετωπίζουν τα άτομα με διαφορετικά είδη αναπηρίας, καθώς και τον τρόπο με τον οποίο </w:t>
              </w:r>
              <w:r w:rsidR="005E00A5">
                <w:rPr>
                  <w:rFonts w:eastAsia="Aptos"/>
                  <w:color w:val="auto"/>
                  <w:kern w:val="2"/>
                  <w14:ligatures w14:val="standardContextual"/>
                </w:rPr>
                <w:t>διαφέρει στις χώρες της ΕΕ</w:t>
              </w:r>
            </w:p>
            <w:p w14:paraId="71DAA57C" w14:textId="2CD30F4F" w:rsidR="000B3609" w:rsidRPr="005E00A5" w:rsidRDefault="000B3609" w:rsidP="005E00A5">
              <w:pPr>
                <w:pStyle w:val="a9"/>
                <w:numPr>
                  <w:ilvl w:val="0"/>
                  <w:numId w:val="38"/>
                </w:numPr>
                <w:spacing w:after="160" w:line="259" w:lineRule="auto"/>
                <w:rPr>
                  <w:rFonts w:eastAsia="Aptos"/>
                  <w:color w:val="auto"/>
                  <w:kern w:val="2"/>
                  <w14:ligatures w14:val="standardContextual"/>
                </w:rPr>
              </w:pPr>
              <w:r w:rsidRPr="005E00A5">
                <w:rPr>
                  <w:rFonts w:eastAsia="Aptos"/>
                  <w:color w:val="auto"/>
                  <w:kern w:val="2"/>
                  <w14:ligatures w14:val="standardContextual"/>
                </w:rPr>
                <w:t>Προτεραιότητα στη χρηματοδότηση προσβάσιμων και οικονομικά προσιτών κατοικιών με τη χρήση των Ταμείων Περιφερειακής Ανάπτυξης της ΕΕ (ΕΤΠΑ): Κατά την αναθεώρηση των κανονισμών χρηματοδότησης της ΕΕ για την περίοδο 2028-2034, η στήριξη της παροχής οικονομικά προσιτής και προσβάσιμης στέγασης πρέπει να καταστεί προτεραιότητα.</w:t>
              </w:r>
            </w:p>
            <w:p w14:paraId="6C0B8C9E" w14:textId="36D84579" w:rsidR="000B3609" w:rsidRPr="005E00A5" w:rsidRDefault="000B3609" w:rsidP="005E00A5">
              <w:pPr>
                <w:pStyle w:val="a9"/>
                <w:numPr>
                  <w:ilvl w:val="0"/>
                  <w:numId w:val="38"/>
                </w:numPr>
                <w:spacing w:after="160" w:line="259" w:lineRule="auto"/>
                <w:rPr>
                  <w:rFonts w:eastAsia="Aptos"/>
                  <w:color w:val="auto"/>
                  <w:kern w:val="2"/>
                  <w14:ligatures w14:val="standardContextual"/>
                </w:rPr>
              </w:pPr>
              <w:r w:rsidRPr="005E00A5">
                <w:rPr>
                  <w:rFonts w:eastAsia="Aptos"/>
                  <w:color w:val="auto"/>
                  <w:kern w:val="2"/>
                  <w14:ligatures w14:val="standardContextual"/>
                </w:rPr>
                <w:t>Να πι</w:t>
              </w:r>
              <w:r w:rsidR="005E00A5">
                <w:rPr>
                  <w:rFonts w:eastAsia="Aptos"/>
                  <w:color w:val="auto"/>
                  <w:kern w:val="2"/>
                  <w14:ligatures w14:val="standardContextual"/>
                </w:rPr>
                <w:t>εστούν</w:t>
              </w:r>
              <w:r w:rsidRPr="005E00A5">
                <w:rPr>
                  <w:rFonts w:eastAsia="Aptos"/>
                  <w:color w:val="auto"/>
                  <w:kern w:val="2"/>
                  <w14:ligatures w14:val="standardContextual"/>
                </w:rPr>
                <w:t xml:space="preserve"> τα κράτη μέλη να επιτρέψουν στους πολίτες να διατηρούν το επίδομα αναπηρίας όταν εργάζονται.</w:t>
              </w:r>
            </w:p>
            <w:p w14:paraId="27C90151" w14:textId="045F61DD" w:rsidR="004406C0" w:rsidRPr="00421328" w:rsidRDefault="000B3609" w:rsidP="004E742E">
              <w:pPr>
                <w:pStyle w:val="a9"/>
                <w:numPr>
                  <w:ilvl w:val="0"/>
                  <w:numId w:val="38"/>
                </w:numPr>
                <w:spacing w:after="160" w:line="259" w:lineRule="auto"/>
              </w:pPr>
              <w:r w:rsidRPr="005E00A5">
                <w:rPr>
                  <w:rFonts w:eastAsia="Aptos"/>
                  <w:color w:val="auto"/>
                  <w:kern w:val="2"/>
                  <w14:ligatures w14:val="standardContextual"/>
                </w:rPr>
                <w:lastRenderedPageBreak/>
                <w:t>Θέσπιση νομοθεσίας της ΕΕ σχετικά με τη διαθεσιμότητα και την οικονομική προσιτότητα των υποστηρικτικών τεχνολογιών: Απαιτού</w:t>
              </w:r>
              <w:r w:rsidR="0007049B">
                <w:rPr>
                  <w:rFonts w:eastAsia="Aptos"/>
                  <w:color w:val="auto"/>
                  <w:kern w:val="2"/>
                  <w14:ligatures w14:val="standardContextual"/>
                </w:rPr>
                <w:t>νται</w:t>
              </w:r>
              <w:r w:rsidRPr="005E00A5">
                <w:rPr>
                  <w:rFonts w:eastAsia="Aptos"/>
                  <w:color w:val="auto"/>
                  <w:kern w:val="2"/>
                  <w14:ligatures w14:val="standardContextual"/>
                </w:rPr>
                <w:t xml:space="preserve"> ισχυρά νομοθετικά μέτρα για να διασφαλ</w:t>
              </w:r>
              <w:r w:rsidR="0007049B">
                <w:rPr>
                  <w:rFonts w:eastAsia="Aptos"/>
                  <w:color w:val="auto"/>
                  <w:kern w:val="2"/>
                  <w14:ligatures w14:val="standardContextual"/>
                </w:rPr>
                <w:t>ισθεί</w:t>
              </w:r>
              <w:r w:rsidRPr="005E00A5">
                <w:rPr>
                  <w:rFonts w:eastAsia="Aptos"/>
                  <w:color w:val="auto"/>
                  <w:kern w:val="2"/>
                  <w14:ligatures w14:val="standardContextual"/>
                </w:rPr>
                <w:t xml:space="preserve"> μια αγορά που</w:t>
              </w:r>
              <w:r w:rsidR="0007049B">
                <w:rPr>
                  <w:rFonts w:eastAsia="Aptos"/>
                  <w:color w:val="auto"/>
                  <w:kern w:val="2"/>
                  <w14:ligatures w14:val="standardContextual"/>
                </w:rPr>
                <w:t xml:space="preserve"> θα</w:t>
              </w:r>
              <w:r w:rsidRPr="005E00A5">
                <w:rPr>
                  <w:rFonts w:eastAsia="Aptos"/>
                  <w:color w:val="auto"/>
                  <w:kern w:val="2"/>
                  <w14:ligatures w14:val="standardContextual"/>
                </w:rPr>
                <w:t xml:space="preserve"> εγγυάται την ευρεία διαθεσιμότητα οικονομικά προσιτών υποστηρικτικών τεχνολογιών και ότι τα άτομα με αναπηρία που διαμένουν στην ΕΕ έχουν την ίδια πρόσβαση στις καταλληλότερες υποστηρικτικές τεχνολογίες.</w:t>
              </w:r>
              <w:r w:rsidR="005E00A5" w:rsidRPr="005E00A5">
                <w:rPr>
                  <w:rFonts w:eastAsia="Aptos"/>
                  <w:color w:val="auto"/>
                  <w:kern w:val="2"/>
                  <w14:ligatures w14:val="standardContextual"/>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6"/>
              <w:footerReference w:type="default" r:id="rId17"/>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8" w:tooltip="Επίσημη ιστοσελίδα της Συνομοσπονδίας" w:history="1">
                <w:r w:rsidRPr="004C6A1B">
                  <w:rPr>
                    <w:rStyle w:val="-"/>
                  </w:rPr>
                  <w:t>www.esaea.gr</w:t>
                </w:r>
              </w:hyperlink>
              <w:r>
                <w:t xml:space="preserve"> ή </w:t>
              </w:r>
              <w:hyperlink r:id="rId19"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00848" w14:textId="77777777" w:rsidR="00D45132" w:rsidRDefault="00D45132" w:rsidP="00A5663B">
      <w:pPr>
        <w:spacing w:after="0" w:line="240" w:lineRule="auto"/>
      </w:pPr>
      <w:r>
        <w:separator/>
      </w:r>
    </w:p>
    <w:p w14:paraId="527A833A" w14:textId="77777777" w:rsidR="00D45132" w:rsidRDefault="00D45132"/>
  </w:endnote>
  <w:endnote w:type="continuationSeparator" w:id="0">
    <w:p w14:paraId="197A55E2" w14:textId="77777777" w:rsidR="00D45132" w:rsidRDefault="00D45132" w:rsidP="00A5663B">
      <w:pPr>
        <w:spacing w:after="0" w:line="240" w:lineRule="auto"/>
      </w:pPr>
      <w:r>
        <w:continuationSeparator/>
      </w:r>
    </w:p>
    <w:p w14:paraId="053D87DC" w14:textId="77777777" w:rsidR="00D45132" w:rsidRDefault="00D45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BE4DA" w14:textId="77777777" w:rsidR="00D45132" w:rsidRDefault="00D45132" w:rsidP="00A5663B">
      <w:pPr>
        <w:spacing w:after="0" w:line="240" w:lineRule="auto"/>
      </w:pPr>
      <w:bookmarkStart w:id="0" w:name="_Hlk484772647"/>
      <w:bookmarkEnd w:id="0"/>
      <w:r>
        <w:separator/>
      </w:r>
    </w:p>
    <w:p w14:paraId="232736A5" w14:textId="77777777" w:rsidR="00D45132" w:rsidRDefault="00D45132"/>
  </w:footnote>
  <w:footnote w:type="continuationSeparator" w:id="0">
    <w:p w14:paraId="5EEC3E20" w14:textId="77777777" w:rsidR="00D45132" w:rsidRDefault="00D45132" w:rsidP="00A5663B">
      <w:pPr>
        <w:spacing w:after="0" w:line="240" w:lineRule="auto"/>
      </w:pPr>
      <w:r>
        <w:continuationSeparator/>
      </w:r>
    </w:p>
    <w:p w14:paraId="281833B5" w14:textId="77777777" w:rsidR="00D45132" w:rsidRDefault="00D45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3F300F"/>
    <w:multiLevelType w:val="hybridMultilevel"/>
    <w:tmpl w:val="BB789C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FD158E7"/>
    <w:multiLevelType w:val="hybridMultilevel"/>
    <w:tmpl w:val="99307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2624638"/>
    <w:multiLevelType w:val="hybridMultilevel"/>
    <w:tmpl w:val="1806ED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FCE3E70"/>
    <w:multiLevelType w:val="hybridMultilevel"/>
    <w:tmpl w:val="12943B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09F0227"/>
    <w:multiLevelType w:val="hybridMultilevel"/>
    <w:tmpl w:val="70F60E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9"/>
  </w:num>
  <w:num w:numId="2" w16cid:durableId="151409919">
    <w:abstractNumId w:val="29"/>
  </w:num>
  <w:num w:numId="3" w16cid:durableId="1900553032">
    <w:abstractNumId w:val="29"/>
  </w:num>
  <w:num w:numId="4" w16cid:durableId="1682196985">
    <w:abstractNumId w:val="29"/>
  </w:num>
  <w:num w:numId="5" w16cid:durableId="767387937">
    <w:abstractNumId w:val="29"/>
  </w:num>
  <w:num w:numId="6" w16cid:durableId="371854564">
    <w:abstractNumId w:val="29"/>
  </w:num>
  <w:num w:numId="7" w16cid:durableId="730346427">
    <w:abstractNumId w:val="29"/>
  </w:num>
  <w:num w:numId="8" w16cid:durableId="1141774985">
    <w:abstractNumId w:val="29"/>
  </w:num>
  <w:num w:numId="9" w16cid:durableId="751704888">
    <w:abstractNumId w:val="29"/>
  </w:num>
  <w:num w:numId="10" w16cid:durableId="2020809213">
    <w:abstractNumId w:val="27"/>
  </w:num>
  <w:num w:numId="11" w16cid:durableId="1530529485">
    <w:abstractNumId w:val="26"/>
  </w:num>
  <w:num w:numId="12" w16cid:durableId="601379931">
    <w:abstractNumId w:val="11"/>
  </w:num>
  <w:num w:numId="13" w16cid:durableId="232860760">
    <w:abstractNumId w:val="6"/>
  </w:num>
  <w:num w:numId="14" w16cid:durableId="73477609">
    <w:abstractNumId w:val="1"/>
  </w:num>
  <w:num w:numId="15" w16cid:durableId="2089647113">
    <w:abstractNumId w:val="7"/>
  </w:num>
  <w:num w:numId="16" w16cid:durableId="789789308">
    <w:abstractNumId w:val="18"/>
  </w:num>
  <w:num w:numId="17" w16cid:durableId="254483936">
    <w:abstractNumId w:val="9"/>
  </w:num>
  <w:num w:numId="18" w16cid:durableId="1376664239">
    <w:abstractNumId w:val="4"/>
  </w:num>
  <w:num w:numId="19" w16cid:durableId="384259666">
    <w:abstractNumId w:val="12"/>
  </w:num>
  <w:num w:numId="20" w16cid:durableId="1293563272">
    <w:abstractNumId w:val="25"/>
  </w:num>
  <w:num w:numId="21" w16cid:durableId="1078670969">
    <w:abstractNumId w:val="13"/>
  </w:num>
  <w:num w:numId="22" w16cid:durableId="395324869">
    <w:abstractNumId w:val="21"/>
  </w:num>
  <w:num w:numId="23" w16cid:durableId="224948528">
    <w:abstractNumId w:val="8"/>
  </w:num>
  <w:num w:numId="24" w16cid:durableId="814613108">
    <w:abstractNumId w:val="14"/>
  </w:num>
  <w:num w:numId="25" w16cid:durableId="387340759">
    <w:abstractNumId w:val="22"/>
  </w:num>
  <w:num w:numId="26" w16cid:durableId="1353653482">
    <w:abstractNumId w:val="2"/>
  </w:num>
  <w:num w:numId="27" w16cid:durableId="634989673">
    <w:abstractNumId w:val="23"/>
  </w:num>
  <w:num w:numId="28" w16cid:durableId="2050298121">
    <w:abstractNumId w:val="0"/>
  </w:num>
  <w:num w:numId="29" w16cid:durableId="143550700">
    <w:abstractNumId w:val="24"/>
  </w:num>
  <w:num w:numId="30" w16cid:durableId="1494182688">
    <w:abstractNumId w:val="28"/>
  </w:num>
  <w:num w:numId="31" w16cid:durableId="812406700">
    <w:abstractNumId w:val="10"/>
  </w:num>
  <w:num w:numId="32" w16cid:durableId="640304871">
    <w:abstractNumId w:val="16"/>
  </w:num>
  <w:num w:numId="33" w16cid:durableId="886527638">
    <w:abstractNumId w:val="5"/>
  </w:num>
  <w:num w:numId="34" w16cid:durableId="1820032981">
    <w:abstractNumId w:val="17"/>
  </w:num>
  <w:num w:numId="35" w16cid:durableId="1947226046">
    <w:abstractNumId w:val="20"/>
  </w:num>
  <w:num w:numId="36" w16cid:durableId="1146170416">
    <w:abstractNumId w:val="19"/>
  </w:num>
  <w:num w:numId="37" w16cid:durableId="417944141">
    <w:abstractNumId w:val="3"/>
  </w:num>
  <w:num w:numId="38" w16cid:durableId="17539652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578F"/>
    <w:rsid w:val="00016434"/>
    <w:rsid w:val="000224C1"/>
    <w:rsid w:val="000319B3"/>
    <w:rsid w:val="0003631E"/>
    <w:rsid w:val="00036FA9"/>
    <w:rsid w:val="00040B50"/>
    <w:rsid w:val="0005102A"/>
    <w:rsid w:val="00065190"/>
    <w:rsid w:val="0007049B"/>
    <w:rsid w:val="000711F9"/>
    <w:rsid w:val="00072157"/>
    <w:rsid w:val="0008214A"/>
    <w:rsid w:val="000864B5"/>
    <w:rsid w:val="00087DF8"/>
    <w:rsid w:val="00091240"/>
    <w:rsid w:val="00093359"/>
    <w:rsid w:val="00096CDC"/>
    <w:rsid w:val="000A5463"/>
    <w:rsid w:val="000B3609"/>
    <w:rsid w:val="000B3C96"/>
    <w:rsid w:val="000C099E"/>
    <w:rsid w:val="000C14DF"/>
    <w:rsid w:val="000C602B"/>
    <w:rsid w:val="000C74F5"/>
    <w:rsid w:val="000D34E2"/>
    <w:rsid w:val="000D3B86"/>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469A"/>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0DE"/>
    <w:rsid w:val="005D44A7"/>
    <w:rsid w:val="005D613A"/>
    <w:rsid w:val="005E00A5"/>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B0764"/>
    <w:rsid w:val="008B3278"/>
    <w:rsid w:val="008B4469"/>
    <w:rsid w:val="008B5B34"/>
    <w:rsid w:val="008B6FE0"/>
    <w:rsid w:val="008E64F8"/>
    <w:rsid w:val="008F12D4"/>
    <w:rsid w:val="008F26CE"/>
    <w:rsid w:val="008F38F0"/>
    <w:rsid w:val="008F4A49"/>
    <w:rsid w:val="00906FB5"/>
    <w:rsid w:val="009070E8"/>
    <w:rsid w:val="009077DF"/>
    <w:rsid w:val="009132F9"/>
    <w:rsid w:val="00914FBB"/>
    <w:rsid w:val="00923E20"/>
    <w:rsid w:val="00926A5C"/>
    <w:rsid w:val="009324B1"/>
    <w:rsid w:val="00935D82"/>
    <w:rsid w:val="00936BAC"/>
    <w:rsid w:val="00940FE3"/>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2AC3"/>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CF555C"/>
    <w:rsid w:val="00D00AC1"/>
    <w:rsid w:val="00D00BBF"/>
    <w:rsid w:val="00D01C51"/>
    <w:rsid w:val="00D11B9D"/>
    <w:rsid w:val="00D1260B"/>
    <w:rsid w:val="00D14800"/>
    <w:rsid w:val="00D2204B"/>
    <w:rsid w:val="00D314AC"/>
    <w:rsid w:val="00D35A4C"/>
    <w:rsid w:val="00D37E77"/>
    <w:rsid w:val="00D4303F"/>
    <w:rsid w:val="00D43376"/>
    <w:rsid w:val="00D43BF3"/>
    <w:rsid w:val="00D43FB8"/>
    <w:rsid w:val="00D4455A"/>
    <w:rsid w:val="00D45132"/>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2857"/>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5A39"/>
    <w:rsid w:val="00F976F5"/>
    <w:rsid w:val="00F97D08"/>
    <w:rsid w:val="00FA015E"/>
    <w:rsid w:val="00FA1B8F"/>
    <w:rsid w:val="00FA55E7"/>
    <w:rsid w:val="00FB6B3D"/>
    <w:rsid w:val="00FC4F7B"/>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c.europa.eu/eurostat/databrowser/view/hlth_dhc050/default/table?lang=en&amp;category=dsb.dsb_ilc.dsb_ilchc" TargetMode="External"/><Relationship Id="rId18" Type="http://schemas.openxmlformats.org/officeDocument/2006/relationships/hyperlink" Target="http://www.esaea.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europa.eu/eurostat/databrowser/view/hlth_dpe010/default/table?lang=en&amp;category=dsb.dsb_ilc.dsb_ilci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web/disability/database" TargetMode="External"/><Relationship Id="rId5" Type="http://schemas.openxmlformats.org/officeDocument/2006/relationships/webSettings" Target="webSettings.xml"/><Relationship Id="rId15" Type="http://schemas.openxmlformats.org/officeDocument/2006/relationships/hyperlink" Target="https://www.edf-feph.org/publications/eu-leaders-must-deliver-a-european-disability-employment-and-skills-guarantee/" TargetMode="External"/><Relationship Id="rId23" Type="http://schemas.openxmlformats.org/officeDocument/2006/relationships/theme" Target="theme/theme1.xml"/><Relationship Id="rId10" Type="http://schemas.openxmlformats.org/officeDocument/2006/relationships/hyperlink" Target="https://www.edf-feph.org/" TargetMode="External"/><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c.europa.eu/eurostat/databrowser/view/hlth_dm030/default/table?lang=en&amp;category=dsb.dsb_ilc.dsb_ilcms"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578F"/>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47A88"/>
    <w:rsid w:val="00394914"/>
    <w:rsid w:val="004803A1"/>
    <w:rsid w:val="004D24F1"/>
    <w:rsid w:val="004D5DB6"/>
    <w:rsid w:val="00512867"/>
    <w:rsid w:val="00523FD3"/>
    <w:rsid w:val="005332D1"/>
    <w:rsid w:val="00576590"/>
    <w:rsid w:val="005A5981"/>
    <w:rsid w:val="005B5415"/>
    <w:rsid w:val="005B71F3"/>
    <w:rsid w:val="005E1DE4"/>
    <w:rsid w:val="006247F1"/>
    <w:rsid w:val="006773AC"/>
    <w:rsid w:val="00687F84"/>
    <w:rsid w:val="006D5F30"/>
    <w:rsid w:val="006E02D2"/>
    <w:rsid w:val="00721A44"/>
    <w:rsid w:val="00784219"/>
    <w:rsid w:val="0078623D"/>
    <w:rsid w:val="007A5F66"/>
    <w:rsid w:val="007B2A29"/>
    <w:rsid w:val="007E68A8"/>
    <w:rsid w:val="00805655"/>
    <w:rsid w:val="008066E1"/>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BD38B6"/>
    <w:rsid w:val="00C02DED"/>
    <w:rsid w:val="00C26C31"/>
    <w:rsid w:val="00C33EB2"/>
    <w:rsid w:val="00C4467A"/>
    <w:rsid w:val="00CB06AB"/>
    <w:rsid w:val="00CB4C91"/>
    <w:rsid w:val="00CC2262"/>
    <w:rsid w:val="00CC633B"/>
    <w:rsid w:val="00CD4D59"/>
    <w:rsid w:val="00D123D7"/>
    <w:rsid w:val="00D2204B"/>
    <w:rsid w:val="00D31945"/>
    <w:rsid w:val="00D3555C"/>
    <w:rsid w:val="00D442B2"/>
    <w:rsid w:val="00E53F68"/>
    <w:rsid w:val="00E6450B"/>
    <w:rsid w:val="00E92067"/>
    <w:rsid w:val="00F22D0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186</TotalTime>
  <Pages>3</Pages>
  <Words>1031</Words>
  <Characters>5569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2024-09-09T09:51:00Z</dcterms:created>
  <dcterms:modified xsi:type="dcterms:W3CDTF">2024-09-11T12:03:00Z</dcterms:modified>
  <cp:contentStatus/>
  <dc:language>Ελληνικά</dc:language>
  <cp:version>am-20180624</cp:version>
</cp:coreProperties>
</file>