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6D1F0B2"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554A64">
            <w:rPr>
              <w:rStyle w:val="Char0"/>
            </w:rPr>
            <w:t xml:space="preserve">Δημήτρης </w:t>
          </w:r>
          <w:proofErr w:type="spellStart"/>
          <w:r w:rsidR="00554A64">
            <w:rPr>
              <w:rStyle w:val="Char0"/>
            </w:rPr>
            <w:t>Λογαράς</w:t>
          </w:r>
          <w:proofErr w:type="spellEnd"/>
          <w:r w:rsidR="00554A64">
            <w:rPr>
              <w:rStyle w:val="Char0"/>
            </w:rPr>
            <w:t xml:space="preserve"> </w:t>
          </w:r>
        </w:sdtContent>
      </w:sdt>
    </w:p>
    <w:p w14:paraId="21E06487" w14:textId="3EF2B1E2" w:rsidR="00A5663B" w:rsidRPr="00A5663B" w:rsidRDefault="00406B6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5-19T00:00:00Z">
                    <w:dateFormat w:val="dd.MM.yyyy"/>
                    <w:lid w:val="el-GR"/>
                    <w:storeMappedDataAs w:val="dateTime"/>
                    <w:calendar w:val="gregorian"/>
                  </w:date>
                </w:sdtPr>
                <w:sdtEndPr>
                  <w:rPr>
                    <w:rStyle w:val="DefaultParagraphFont"/>
                  </w:rPr>
                </w:sdtEndPr>
                <w:sdtContent>
                  <w:r w:rsidR="00EF42D1">
                    <w:rPr>
                      <w:rStyle w:val="Char0"/>
                    </w:rPr>
                    <w:t>19.05.2025</w:t>
                  </w:r>
                </w:sdtContent>
              </w:sdt>
            </w:sdtContent>
          </w:sdt>
        </w:sdtContent>
      </w:sdt>
    </w:p>
    <w:p w14:paraId="387D4CEF" w14:textId="3244CAD8" w:rsidR="00A5663B" w:rsidRPr="00A5663B" w:rsidRDefault="00406B60"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7B45FF" w:rsidRPr="007B45FF">
            <w:rPr>
              <w:rStyle w:val="Char0"/>
            </w:rPr>
            <w:t>569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7F5720E"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E5B35">
                        <w:t xml:space="preserve">Πρόεδρο και Μέλη </w:t>
                      </w:r>
                      <w:r w:rsidR="003637F8">
                        <w:t xml:space="preserve">της </w:t>
                      </w:r>
                      <w:r w:rsidR="00CE5B35">
                        <w:t>Διαρκούς Επιτροπής Παραγωγής και Εμπορίου της Βουλής των Ελλήνων</w:t>
                      </w:r>
                    </w:sdtContent>
                  </w:sdt>
                </w:p>
              </w:sdtContent>
            </w:sdt>
          </w:sdtContent>
        </w:sdt>
      </w:sdtContent>
    </w:sdt>
    <w:p w14:paraId="31E1A41E" w14:textId="77777777" w:rsidR="00554A64" w:rsidRDefault="00554A64" w:rsidP="0083359D">
      <w:pPr>
        <w:tabs>
          <w:tab w:val="left" w:pos="993"/>
        </w:tabs>
        <w:spacing w:after="480"/>
        <w:ind w:left="992" w:hanging="992"/>
        <w:rPr>
          <w:rStyle w:val="Strong"/>
        </w:rPr>
      </w:pPr>
    </w:p>
    <w:p w14:paraId="48D01092" w14:textId="0994F0AC"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54BC8F5" w:rsidR="002D0AB7" w:rsidRPr="00C0166C" w:rsidRDefault="00406B60"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8B3367">
                    <w:t xml:space="preserve">Προτάσεις Ε.Σ.Α.μεΑ. επί του </w:t>
                  </w:r>
                  <w:r w:rsidR="008B3367">
                    <w:rPr>
                      <w:bCs/>
                    </w:rPr>
                    <w:t>Σ</w:t>
                  </w:r>
                  <w:r w:rsidR="009C6A3A" w:rsidRPr="009C6A3A">
                    <w:rPr>
                      <w:bCs/>
                    </w:rPr>
                    <w:t xml:space="preserve">χέδιο νόμου του Υπουργείου Ανάπτυξης με τον τίτλο: </w:t>
                  </w:r>
                  <w:r w:rsidR="009C6A3A" w:rsidRPr="009C6A3A">
                    <w:rPr>
                      <w:bCs/>
                      <w:i/>
                      <w:iCs/>
                    </w:rPr>
                    <w:t>“Βιώσιμη ανάπτυξη, παραγωγικός μετασχηματισμός της ελληνικής οικονομίας – Τροποποίηση διατάξεων του αναπτυξιακού νόμου 4887/2022 Αναπτυξιακός Νόμος -Ελλάδα Ισχυρή Ανάπτυξη-και λοιπές διατάξεις”</w:t>
                  </w:r>
                </w:sdtContent>
              </w:sdt>
              <w:r w:rsidR="002D0AB7">
                <w:rPr>
                  <w:rStyle w:val="Strong"/>
                </w:rPr>
                <w:t>»</w:t>
              </w:r>
            </w:p>
            <w:p w14:paraId="5577ECB4" w14:textId="77777777" w:rsidR="002D0AB7" w:rsidRDefault="00406B6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F9821BC" w14:textId="6E2544CC" w:rsidR="00510963" w:rsidRDefault="003637F8" w:rsidP="00B50ABE">
              <w:pPr>
                <w:spacing w:line="240" w:lineRule="auto"/>
                <w:rPr>
                  <w:b/>
                  <w:bCs/>
                  <w:i/>
                  <w:iCs/>
                </w:rPr>
              </w:pPr>
              <w:r>
                <w:rPr>
                  <w:b/>
                  <w:bCs/>
                  <w:i/>
                  <w:iCs/>
                </w:rPr>
                <w:t>Αξιότιμε Πρόεδρε</w:t>
              </w:r>
              <w:r w:rsidR="00510963" w:rsidRPr="00420D37">
                <w:rPr>
                  <w:b/>
                  <w:bCs/>
                  <w:i/>
                  <w:iCs/>
                </w:rPr>
                <w:t xml:space="preserve">, </w:t>
              </w:r>
            </w:p>
            <w:p w14:paraId="10E150AB" w14:textId="55EBB3EE" w:rsidR="003637F8" w:rsidRPr="007D010A" w:rsidRDefault="003637F8" w:rsidP="00B50ABE">
              <w:pPr>
                <w:spacing w:line="240" w:lineRule="auto"/>
                <w:rPr>
                  <w:b/>
                  <w:bCs/>
                  <w:i/>
                  <w:iCs/>
                </w:rPr>
              </w:pPr>
              <w:r>
                <w:rPr>
                  <w:b/>
                  <w:bCs/>
                  <w:i/>
                  <w:iCs/>
                </w:rPr>
                <w:t xml:space="preserve">Αξιότιμα Μέλη, </w:t>
              </w:r>
            </w:p>
            <w:p w14:paraId="70581261" w14:textId="00A86DA6" w:rsidR="007275C8" w:rsidRDefault="006F54CF" w:rsidP="00EE2439">
              <w:pPr>
                <w:spacing w:after="0" w:line="240" w:lineRule="auto"/>
              </w:pPr>
              <w:r>
                <w:t>Ενόψει της αυριανής</w:t>
              </w:r>
              <w:r w:rsidR="00784A1F">
                <w:t xml:space="preserve"> συνεδρίασης</w:t>
              </w:r>
              <w:r w:rsidR="00FE2811">
                <w:t xml:space="preserve"> της Διαρκούς Επιτροπής Παραγωγής και Εμπορίου</w:t>
              </w:r>
              <w:r>
                <w:t>, η</w:t>
              </w:r>
              <w:r w:rsidR="002C1F7A">
                <w:t xml:space="preserve"> Εθνική Συνομοσπονδία Ατόμων με Αναπηρία (Ε.Σ.Α.μεΑ.) με το παρόν σας αποστέλλει τις προτάσεις της επί του Σχεδίου Νόμου </w:t>
              </w:r>
              <w:r w:rsidR="002C1F7A" w:rsidRPr="007275C8">
                <w:rPr>
                  <w:i/>
                  <w:iCs/>
                </w:rPr>
                <w:t>«Βιώσιμη ανάπτυξη, παραγωγικός μετασχηματισμός της ελληνικής οικονομίας</w:t>
              </w:r>
              <w:r w:rsidR="00EF42D1" w:rsidRPr="007275C8">
                <w:rPr>
                  <w:i/>
                  <w:iCs/>
                </w:rPr>
                <w:t>-</w:t>
              </w:r>
              <w:r w:rsidR="002C1F7A" w:rsidRPr="007275C8">
                <w:rPr>
                  <w:i/>
                  <w:iCs/>
                </w:rPr>
                <w:t>Τροποποίηση διατάξεων του αναπτυξιακού νόμου 4887/2022, Αναπτυξιακός Νόμος</w:t>
              </w:r>
              <w:r w:rsidR="00EF42D1" w:rsidRPr="007275C8">
                <w:rPr>
                  <w:i/>
                  <w:iCs/>
                </w:rPr>
                <w:t>-</w:t>
              </w:r>
              <w:r w:rsidR="002C1F7A" w:rsidRPr="007275C8">
                <w:rPr>
                  <w:i/>
                  <w:iCs/>
                </w:rPr>
                <w:t>Ελλάδα Ισχυρή Ανάπτυξη</w:t>
              </w:r>
              <w:r w:rsidR="00EF42D1" w:rsidRPr="007275C8">
                <w:rPr>
                  <w:i/>
                  <w:iCs/>
                </w:rPr>
                <w:t>-</w:t>
              </w:r>
              <w:r w:rsidR="002C1F7A" w:rsidRPr="007275C8">
                <w:rPr>
                  <w:i/>
                  <w:iCs/>
                </w:rPr>
                <w:t>και λοιπές διατάξεις»</w:t>
              </w:r>
              <w:r w:rsidR="002C1F7A">
                <w:t xml:space="preserve">. Αξίζει να σημειωθεί ότι οι περισσότερες από τις προτάσεις που </w:t>
              </w:r>
              <w:r w:rsidR="007275C8">
                <w:t xml:space="preserve">υποβάλαμε </w:t>
              </w:r>
              <w:r w:rsidR="002C1F7A">
                <w:t xml:space="preserve">ηλεκτρονικά στις 2 Μαΐου 2025 στον διαδικτυακό τόπο ανοιχτής διακυβέρνησης www.opengov.gr, στο πλαίσιο της δημόσιας </w:t>
              </w:r>
              <w:r w:rsidR="007275C8">
                <w:t xml:space="preserve">ηλεκτρονικής  </w:t>
              </w:r>
              <w:r w:rsidR="002C1F7A">
                <w:t xml:space="preserve">διαβούλευσης επί του εν λόγω σχεδίου νόμου, έχουν ήδη ενσωματωθεί σε αυτό. </w:t>
              </w:r>
              <w:r w:rsidR="007275C8" w:rsidRPr="007275C8">
                <w:t>Ωστόσο, επειδή οι προτάσεις που ακολουθούν</w:t>
              </w:r>
              <w:r w:rsidR="007275C8">
                <w:t xml:space="preserve"> -</w:t>
              </w:r>
              <w:r w:rsidR="007275C8" w:rsidRPr="007275C8">
                <w:t>τις οποίες θεωρούμε ιδιαίτερα σημαντικές</w:t>
              </w:r>
              <w:r w:rsidR="007275C8">
                <w:t xml:space="preserve">- </w:t>
              </w:r>
              <w:r w:rsidR="007275C8" w:rsidRPr="007275C8">
                <w:t>δεν</w:t>
              </w:r>
              <w:r w:rsidR="00D64E6E">
                <w:t xml:space="preserve"> έγιναν αποδεκτές</w:t>
              </w:r>
              <w:r w:rsidR="007275C8" w:rsidRPr="007275C8">
                <w:t xml:space="preserve">, επανερχόμαστε με το παρόν έγγραφό </w:t>
              </w:r>
              <w:r w:rsidR="00EE2439">
                <w:t>μας ζητώντας την συμπερίληψή τους σε αυτό</w:t>
              </w:r>
              <w:r w:rsidR="007275C8" w:rsidRPr="007275C8">
                <w:t>.</w:t>
              </w:r>
            </w:p>
            <w:p w14:paraId="5E2F718B" w14:textId="77777777" w:rsidR="00EE2439" w:rsidRDefault="00EE2439" w:rsidP="00EE2439">
              <w:pPr>
                <w:spacing w:after="0" w:line="240" w:lineRule="auto"/>
              </w:pPr>
            </w:p>
            <w:p w14:paraId="0221EC2D" w14:textId="433F5977" w:rsidR="009C6A3A" w:rsidRPr="004469B8" w:rsidRDefault="002C1F7A" w:rsidP="002C1F7A">
              <w:pPr>
                <w:spacing w:line="240" w:lineRule="auto"/>
                <w:rPr>
                  <w:b/>
                  <w:bCs/>
                </w:rPr>
              </w:pPr>
              <w:r w:rsidRPr="00EF42D1">
                <w:rPr>
                  <w:b/>
                  <w:bCs/>
                </w:rPr>
                <w:t>Οφείλουμε να</w:t>
              </w:r>
              <w:r>
                <w:t xml:space="preserve"> </w:t>
              </w:r>
              <w:r w:rsidR="009C6A3A" w:rsidRPr="004469B8">
                <w:rPr>
                  <w:b/>
                  <w:bCs/>
                </w:rPr>
                <w:t>επισημάνουμε ότι στον ν.4887/2022 ορθώς εντάσσονται στις επιλέξιμες δαπάνες των διαφορετικών θεματικών καθεστώτων ενίσχυσης οι δαπάνες για την πρόσληψη ατόμων με αναπηρία και την παροχή εύλογων προσαρμογών (</w:t>
              </w:r>
              <w:r w:rsidR="006A0406">
                <w:rPr>
                  <w:b/>
                  <w:bCs/>
                </w:rPr>
                <w:t xml:space="preserve">οι οποίες εξειδικεύονται περαιτέρω στην </w:t>
              </w:r>
              <w:r w:rsidR="009C6A3A" w:rsidRPr="004469B8">
                <w:rPr>
                  <w:b/>
                  <w:bCs/>
                </w:rPr>
                <w:t>παρ. 15 του Παραρτήματος Β)</w:t>
              </w:r>
              <w:r w:rsidR="00E54F37">
                <w:rPr>
                  <w:b/>
                  <w:bCs/>
                </w:rPr>
                <w:t xml:space="preserve">, με στόχο την </w:t>
              </w:r>
              <w:r w:rsidR="006A0406">
                <w:rPr>
                  <w:b/>
                  <w:bCs/>
                </w:rPr>
                <w:t xml:space="preserve">προώθηση και ενίσχυση </w:t>
              </w:r>
              <w:r w:rsidR="00E54F37">
                <w:rPr>
                  <w:b/>
                  <w:bCs/>
                </w:rPr>
                <w:t xml:space="preserve">της απασχόλησής τους. </w:t>
              </w:r>
            </w:p>
            <w:p w14:paraId="6A6E214F" w14:textId="77777777" w:rsidR="009C6A3A" w:rsidRPr="00ED7645" w:rsidRDefault="009C6A3A" w:rsidP="009C6A3A">
              <w:pPr>
                <w:spacing w:after="0" w:line="240" w:lineRule="auto"/>
                <w:rPr>
                  <w:b/>
                  <w:bCs/>
                  <w:u w:val="single"/>
                </w:rPr>
              </w:pPr>
              <w:r w:rsidRPr="007129BD">
                <w:rPr>
                  <w:b/>
                  <w:bCs/>
                  <w:u w:val="single"/>
                </w:rPr>
                <w:t>Λαμβάνοντας υπόψη</w:t>
              </w:r>
              <w:r w:rsidRPr="00ED7645">
                <w:rPr>
                  <w:b/>
                  <w:bCs/>
                  <w:u w:val="single"/>
                </w:rPr>
                <w:t>:</w:t>
              </w:r>
            </w:p>
            <w:p w14:paraId="257A19DF" w14:textId="41E51302" w:rsidR="007275C8" w:rsidRDefault="009C6A3A" w:rsidP="00EE2439">
              <w:pPr>
                <w:pStyle w:val="ListParagraph"/>
                <w:numPr>
                  <w:ilvl w:val="0"/>
                  <w:numId w:val="17"/>
                </w:numPr>
                <w:tabs>
                  <w:tab w:val="left" w:pos="284"/>
                </w:tabs>
                <w:spacing w:after="0" w:line="240" w:lineRule="auto"/>
                <w:ind w:left="0" w:firstLine="0"/>
              </w:pPr>
              <w:r w:rsidRPr="00ED7645">
                <w:t xml:space="preserve">Την παρ. 6 του Άρθρου 21 του Συντάγματος της χώρας, σύμφωνα με την οποία </w:t>
              </w:r>
              <w:r w:rsidRPr="00ED7645">
                <w:rPr>
                  <w:i/>
                  <w:iCs/>
                </w:rPr>
                <w:t xml:space="preserve">«τα άτομα με αναπηρίες έχουν δικαίωμα να απολαμβάνουν μέτρων που εξασφαλίζουν την </w:t>
              </w:r>
              <w:r w:rsidRPr="00ED7645">
                <w:rPr>
                  <w:i/>
                  <w:iCs/>
                </w:rPr>
                <w:lastRenderedPageBreak/>
                <w:t>αυτονομία, την επαγγελματική ένταξη και τη συμμετοχή τους στην κοινωνική, οικονομική και πολιτική ζωή της Χώρας»</w:t>
              </w:r>
              <w:r w:rsidRPr="00ED7645">
                <w:t>, καθώς και τις απαιτήσεις της εθνικής μας νομοθεσίας, όπως:</w:t>
              </w:r>
            </w:p>
            <w:p w14:paraId="3064125C" w14:textId="77777777" w:rsidR="00EE2439" w:rsidRDefault="00EE2439" w:rsidP="00EE2439">
              <w:pPr>
                <w:pStyle w:val="ListParagraph"/>
                <w:tabs>
                  <w:tab w:val="left" w:pos="284"/>
                </w:tabs>
                <w:spacing w:after="0" w:line="240" w:lineRule="auto"/>
                <w:ind w:left="0"/>
              </w:pPr>
            </w:p>
            <w:p w14:paraId="413BDE38" w14:textId="77777777" w:rsidR="009C6A3A" w:rsidRPr="006C7889" w:rsidRDefault="009C6A3A" w:rsidP="009C6A3A">
              <w:pPr>
                <w:spacing w:after="0" w:line="240" w:lineRule="auto"/>
              </w:pPr>
              <w:r w:rsidRPr="00020D2D">
                <w:rPr>
                  <w:b/>
                  <w:bCs/>
                </w:rPr>
                <w:t>-</w:t>
              </w:r>
              <w:r w:rsidRPr="00ED7645">
                <w:t>τον ν.4074/2012</w:t>
              </w:r>
              <w:r>
                <w:t xml:space="preserve"> -</w:t>
              </w:r>
              <w:r w:rsidRPr="00ED7645">
                <w:t>με τον οποίο η χώρα μας κύρωσε τη Σύμβαση των Ηνωμένων Εθνών για τα Δικαιώματα των Ατόμων με Αναπηρίες μαζί με το προαιρετικό πρωτόκολλο που τη συνοδεύει, γεγονός που συνεπάγεται την εφαρμογή της σε ευρωπαϊκό και εθνικό επίπεδο</w:t>
              </w:r>
              <w:r>
                <w:t xml:space="preserve">- </w:t>
              </w:r>
              <w:r w:rsidRPr="00ED7645">
                <w:t xml:space="preserve">όπου στο άρθρο 4 (παρ. 1, εδάφιο γ) αυτής,  αναφέρεται ότι τα κράτη υποχρεούνται να </w:t>
              </w:r>
              <w:r w:rsidRPr="00ED7645">
                <w:rPr>
                  <w:i/>
                  <w:iCs/>
                </w:rPr>
                <w:t>«λαμβάνουν υπόψη την προστασία και την προαγωγή των ανθρωπίνων δικαιωμάτων των ατόμων με αναπηρίες σε όλες τις πολιτικές και τα προγράμματα»</w:t>
              </w:r>
              <w:r>
                <w:rPr>
                  <w:i/>
                  <w:iCs/>
                </w:rPr>
                <w:t xml:space="preserve"> </w:t>
              </w:r>
              <w:r w:rsidRPr="00EF0E9E">
                <w:t>(</w:t>
              </w:r>
              <w:r w:rsidRPr="00ED7645">
                <w:t>Η διάταξη αυτή νοείται ως ρήτρα της Σύμβασης για την ενσωμάτωση της δικαιωματικής προσέγγισης της αναπηρίας σε όλες τις πολιτικές, μέτρα και προγράμματα</w:t>
              </w:r>
              <w:r>
                <w:t>)</w:t>
              </w:r>
              <w:r w:rsidRPr="00ED7645">
                <w:t xml:space="preserve">,  </w:t>
              </w:r>
            </w:p>
            <w:p w14:paraId="30C8DE57" w14:textId="77777777" w:rsidR="009C6A3A" w:rsidRPr="006C7889" w:rsidRDefault="009C6A3A" w:rsidP="009C6A3A">
              <w:pPr>
                <w:spacing w:after="0" w:line="240" w:lineRule="auto"/>
              </w:pPr>
            </w:p>
            <w:p w14:paraId="04A3254F" w14:textId="207864E0" w:rsidR="009C6A3A" w:rsidRDefault="009C6A3A" w:rsidP="009C6A3A">
              <w:pPr>
                <w:spacing w:after="0" w:line="240" w:lineRule="auto"/>
              </w:pPr>
              <w:r w:rsidRPr="00020D2D">
                <w:rPr>
                  <w:b/>
                  <w:bCs/>
                </w:rPr>
                <w:t>-</w:t>
              </w:r>
              <w:r w:rsidRPr="00ED7645">
                <w:t xml:space="preserve">τον ν.4994/2022, με το οποίο ενσωματώθηκε στην ελληνική έννομη τάξη η Οδηγία (ΕΕ) 2019/882 σχετικά με τις απαιτήσεις προσβασιμότητας προϊόντων και υπηρεσιών. </w:t>
              </w:r>
              <w:r>
                <w:t>(</w:t>
              </w:r>
              <w:r w:rsidRPr="00ED7645">
                <w:t>Σκοπός του νόμου είναι, μεταξύ άλλων, η αύξηση της διαθεσιμότητας των προσβάσιμων προϊόντων και υπηρεσιών και η βελτίωση της προσβασιμότητάς τους σε άτομα µε αναπηρία</w:t>
              </w:r>
              <w:r>
                <w:t>)</w:t>
              </w:r>
              <w:r w:rsidRPr="00ED7645">
                <w:t xml:space="preserve">, </w:t>
              </w:r>
            </w:p>
            <w:p w14:paraId="575FFE7E" w14:textId="77777777" w:rsidR="00020D2D" w:rsidRPr="006C7889" w:rsidRDefault="00020D2D" w:rsidP="009C6A3A">
              <w:pPr>
                <w:spacing w:after="0" w:line="240" w:lineRule="auto"/>
              </w:pPr>
            </w:p>
            <w:p w14:paraId="4883E349" w14:textId="1E820D57" w:rsidR="009C6A3A" w:rsidRDefault="00E62DF8" w:rsidP="00E62DF8">
              <w:pPr>
                <w:spacing w:line="240" w:lineRule="auto"/>
              </w:pPr>
              <w:r w:rsidRPr="00020D2D">
                <w:rPr>
                  <w:b/>
                  <w:bCs/>
                </w:rPr>
                <w:t>-</w:t>
              </w:r>
              <w:r>
                <w:t>το κεφάλαιο</w:t>
              </w:r>
              <w:r w:rsidR="009C6A3A">
                <w:t xml:space="preserve"> Η του ν.4727/2020, με το οποίο ενσωματώθηκε στην εθνική μας νομοθεσία η Οδηγία 2016/2102 για την προσβασιμότητα των </w:t>
              </w:r>
              <w:proofErr w:type="spellStart"/>
              <w:r w:rsidR="009C6A3A">
                <w:t>ιστότοπων</w:t>
              </w:r>
              <w:proofErr w:type="spellEnd"/>
              <w:r w:rsidR="009C6A3A">
                <w:t xml:space="preserve"> και των εφαρμογών για φορητές συσκευές των οργανισμών του δημόσιου τομέα,</w:t>
              </w:r>
            </w:p>
            <w:p w14:paraId="6C91D11A" w14:textId="77777777" w:rsidR="009C6A3A" w:rsidRPr="00ED7645" w:rsidRDefault="009C6A3A" w:rsidP="009C6A3A">
              <w:pPr>
                <w:spacing w:line="240" w:lineRule="auto"/>
                <w:rPr>
                  <w:u w:val="single"/>
                </w:rPr>
              </w:pPr>
              <w:r w:rsidRPr="006C7889">
                <w:rPr>
                  <w:u w:val="single"/>
                </w:rPr>
                <w:t xml:space="preserve">καθώς </w:t>
              </w:r>
              <w:r w:rsidRPr="00ED7645">
                <w:rPr>
                  <w:u w:val="single"/>
                </w:rPr>
                <w:t>επίσης και,</w:t>
              </w:r>
            </w:p>
            <w:p w14:paraId="310FCE4E" w14:textId="77777777" w:rsidR="009C6A3A" w:rsidRPr="00ED7645" w:rsidRDefault="009C6A3A" w:rsidP="009C6A3A">
              <w:pPr>
                <w:spacing w:line="240" w:lineRule="auto"/>
              </w:pPr>
              <w:r w:rsidRPr="00ED7645">
                <w:t>-την Εθνική Στρατηγική για τα Δικαιώματα των Ατόμων με Αναπηρία 2024-2030</w:t>
              </w:r>
              <w:r>
                <w:t>-</w:t>
              </w:r>
              <w:r w:rsidRPr="00ED7645">
                <w:t>Μια Ελλάδα με Όλους για Όλους, στην οποία επισημαίνεται ότι «</w:t>
              </w:r>
              <w:r w:rsidRPr="00ED7645">
                <w:rPr>
                  <w:i/>
                  <w:iCs/>
                </w:rPr>
                <w:t>Η ενσωμάτωση της διάστασης της αναπηρίας σε κάθε δημόσια πολιτική συνιστά παράγοντα ανάπτυξης της χώρας […]»</w:t>
              </w:r>
              <w:r w:rsidRPr="00ED7645">
                <w:t xml:space="preserve"> (σ.66)</w:t>
              </w:r>
              <w:r>
                <w:rPr>
                  <w:rStyle w:val="FootnoteReference"/>
                </w:rPr>
                <w:footnoteReference w:id="1"/>
              </w:r>
              <w:r w:rsidRPr="00ED7645">
                <w:t xml:space="preserve">, </w:t>
              </w:r>
            </w:p>
            <w:p w14:paraId="466A438D" w14:textId="369D653D" w:rsidR="009C6A3A" w:rsidRPr="00ED7645" w:rsidRDefault="009C6A3A" w:rsidP="009C6A3A">
              <w:pPr>
                <w:spacing w:line="240" w:lineRule="auto"/>
                <w:rPr>
                  <w:b/>
                  <w:bCs/>
                  <w:u w:val="single"/>
                </w:rPr>
              </w:pPr>
              <w:r w:rsidRPr="00ED7645">
                <w:rPr>
                  <w:b/>
                  <w:bCs/>
                  <w:u w:val="single"/>
                </w:rPr>
                <w:t xml:space="preserve">η Ε.Σ.Α.μεΑ. </w:t>
              </w:r>
              <w:r w:rsidR="0019450A">
                <w:rPr>
                  <w:b/>
                  <w:bCs/>
                  <w:u w:val="single"/>
                </w:rPr>
                <w:t xml:space="preserve">αιτείται </w:t>
              </w:r>
              <w:r w:rsidRPr="00ED7645">
                <w:rPr>
                  <w:b/>
                  <w:bCs/>
                  <w:u w:val="single"/>
                </w:rPr>
                <w:t xml:space="preserve">ανά άρθρο </w:t>
              </w:r>
              <w:r>
                <w:rPr>
                  <w:b/>
                  <w:bCs/>
                  <w:u w:val="single"/>
                </w:rPr>
                <w:t xml:space="preserve">του Σχεδίου Νόμου </w:t>
              </w:r>
              <w:r w:rsidRPr="00ED7645">
                <w:rPr>
                  <w:b/>
                  <w:bCs/>
                  <w:u w:val="single"/>
                </w:rPr>
                <w:t>τα εξής:</w:t>
              </w:r>
            </w:p>
            <w:p w14:paraId="75AE616B" w14:textId="77777777" w:rsidR="009C6A3A" w:rsidRPr="00ED7645" w:rsidRDefault="009C6A3A" w:rsidP="009C6A3A">
              <w:pPr>
                <w:pStyle w:val="Default"/>
                <w:jc w:val="both"/>
                <w:rPr>
                  <w:rFonts w:ascii="Cambria" w:hAnsi="Cambria" w:cstheme="minorBidi"/>
                  <w:b/>
                  <w:bCs/>
                  <w:color w:val="auto"/>
                  <w:kern w:val="2"/>
                  <w:sz w:val="22"/>
                  <w:szCs w:val="22"/>
                  <w:u w:val="single"/>
                </w:rPr>
              </w:pPr>
              <w:r w:rsidRPr="00ED7645">
                <w:rPr>
                  <w:rFonts w:ascii="Cambria" w:hAnsi="Cambria" w:cstheme="minorBidi"/>
                  <w:b/>
                  <w:bCs/>
                  <w:color w:val="auto"/>
                  <w:kern w:val="2"/>
                  <w:sz w:val="22"/>
                  <w:szCs w:val="22"/>
                  <w:u w:val="single"/>
                </w:rPr>
                <w:t xml:space="preserve">1. </w:t>
              </w:r>
              <w:r>
                <w:rPr>
                  <w:rFonts w:ascii="Cambria" w:hAnsi="Cambria" w:cstheme="minorBidi"/>
                  <w:b/>
                  <w:bCs/>
                  <w:color w:val="auto"/>
                  <w:kern w:val="2"/>
                  <w:sz w:val="22"/>
                  <w:szCs w:val="22"/>
                  <w:u w:val="single"/>
                </w:rPr>
                <w:t xml:space="preserve"> </w:t>
              </w:r>
              <w:r w:rsidRPr="00ED7645">
                <w:rPr>
                  <w:rFonts w:ascii="Cambria" w:hAnsi="Cambria" w:cstheme="minorBidi"/>
                  <w:b/>
                  <w:bCs/>
                  <w:color w:val="auto"/>
                  <w:kern w:val="2"/>
                  <w:sz w:val="22"/>
                  <w:szCs w:val="22"/>
                  <w:u w:val="single"/>
                </w:rPr>
                <w:t xml:space="preserve">Άρθρο 8 - Μη επιλέξιμες δαπάνες - Τροποποίηση άρθρου 8 ν. 4887/2022 </w:t>
              </w:r>
            </w:p>
            <w:p w14:paraId="3DDC46F9" w14:textId="77777777" w:rsidR="009C6A3A" w:rsidRPr="00ED7645" w:rsidRDefault="009C6A3A" w:rsidP="009C6A3A">
              <w:pPr>
                <w:pStyle w:val="Default"/>
                <w:jc w:val="both"/>
                <w:rPr>
                  <w:rFonts w:ascii="Cambria" w:hAnsi="Cambria" w:cstheme="minorBidi"/>
                  <w:color w:val="auto"/>
                  <w:kern w:val="2"/>
                  <w:sz w:val="22"/>
                  <w:szCs w:val="22"/>
                </w:rPr>
              </w:pPr>
              <w:r w:rsidRPr="00ED7645">
                <w:rPr>
                  <w:rFonts w:ascii="Cambria" w:hAnsi="Cambria" w:cstheme="minorBidi"/>
                  <w:color w:val="auto"/>
                  <w:kern w:val="2"/>
                  <w:sz w:val="22"/>
                  <w:szCs w:val="22"/>
                </w:rPr>
                <w:t>Στις προτεινόμενες τροποποιήσεις του άρθρου 8 του ν.4887/2022 να συμπεριληφθ</w:t>
              </w:r>
              <w:r>
                <w:rPr>
                  <w:rFonts w:ascii="Cambria" w:hAnsi="Cambria" w:cstheme="minorBidi"/>
                  <w:color w:val="auto"/>
                  <w:kern w:val="2"/>
                  <w:sz w:val="22"/>
                  <w:szCs w:val="22"/>
                </w:rPr>
                <w:t>εί</w:t>
              </w:r>
              <w:r w:rsidRPr="00ED7645">
                <w:rPr>
                  <w:rFonts w:ascii="Cambria" w:hAnsi="Cambria" w:cstheme="minorBidi"/>
                  <w:color w:val="auto"/>
                  <w:kern w:val="2"/>
                  <w:sz w:val="22"/>
                  <w:szCs w:val="22"/>
                </w:rPr>
                <w:t xml:space="preserve"> και </w:t>
              </w:r>
              <w:r>
                <w:rPr>
                  <w:rFonts w:ascii="Cambria" w:hAnsi="Cambria" w:cstheme="minorBidi"/>
                  <w:color w:val="auto"/>
                  <w:kern w:val="2"/>
                  <w:sz w:val="22"/>
                  <w:szCs w:val="22"/>
                </w:rPr>
                <w:t xml:space="preserve">η </w:t>
              </w:r>
              <w:r w:rsidRPr="00ED7645">
                <w:rPr>
                  <w:rFonts w:ascii="Cambria" w:hAnsi="Cambria" w:cstheme="minorBidi"/>
                  <w:color w:val="auto"/>
                  <w:kern w:val="2"/>
                  <w:sz w:val="22"/>
                  <w:szCs w:val="22"/>
                </w:rPr>
                <w:t xml:space="preserve">παρακάτω (βλ. με έντονη γραμματοσειρά): </w:t>
              </w:r>
            </w:p>
            <w:p w14:paraId="469B9719" w14:textId="77777777" w:rsidR="009C6A3A" w:rsidRPr="00ED7645" w:rsidRDefault="009C6A3A" w:rsidP="009C6A3A">
              <w:pPr>
                <w:pStyle w:val="Default"/>
                <w:jc w:val="both"/>
                <w:rPr>
                  <w:rFonts w:ascii="Cambria" w:hAnsi="Cambria" w:cstheme="minorBidi"/>
                  <w:i/>
                  <w:iCs/>
                  <w:color w:val="auto"/>
                  <w:kern w:val="2"/>
                  <w:sz w:val="22"/>
                  <w:szCs w:val="22"/>
                </w:rPr>
              </w:pPr>
              <w:r w:rsidRPr="00ED7645">
                <w:rPr>
                  <w:rFonts w:ascii="Cambria" w:hAnsi="Cambria" w:cstheme="minorBidi"/>
                  <w:i/>
                  <w:iCs/>
                  <w:color w:val="auto"/>
                  <w:kern w:val="2"/>
                  <w:sz w:val="22"/>
                  <w:szCs w:val="22"/>
                </w:rPr>
                <w:t>«Άρθρο 8-Μη επιλέξιμες δαπάνες</w:t>
              </w:r>
            </w:p>
            <w:p w14:paraId="5A006F59" w14:textId="77777777" w:rsidR="009C6A3A" w:rsidRPr="00ED7645" w:rsidRDefault="009C6A3A" w:rsidP="009C6A3A">
              <w:pPr>
                <w:pStyle w:val="Default"/>
                <w:jc w:val="both"/>
                <w:rPr>
                  <w:rFonts w:ascii="Cambria" w:hAnsi="Cambria" w:cstheme="minorBidi"/>
                  <w:i/>
                  <w:iCs/>
                  <w:color w:val="auto"/>
                  <w:kern w:val="2"/>
                  <w:sz w:val="22"/>
                  <w:szCs w:val="22"/>
                </w:rPr>
              </w:pPr>
              <w:r w:rsidRPr="00ED7645">
                <w:rPr>
                  <w:rFonts w:ascii="Cambria" w:hAnsi="Cambria" w:cstheme="minorBidi"/>
                  <w:i/>
                  <w:iCs/>
                  <w:color w:val="auto"/>
                  <w:kern w:val="2"/>
                  <w:sz w:val="22"/>
                  <w:szCs w:val="22"/>
                </w:rPr>
                <w:t>Οι κατωτέρω δαπάνες θεωρούνται μη επιλέξιμες και εξαιρούνται από την παροχή ενισχύσεων:</w:t>
              </w:r>
            </w:p>
            <w:p w14:paraId="5DBC9E4B" w14:textId="77777777" w:rsidR="009C6A3A" w:rsidRPr="00ED7645" w:rsidRDefault="009C6A3A" w:rsidP="009C6A3A">
              <w:pPr>
                <w:pStyle w:val="Default"/>
                <w:jc w:val="both"/>
                <w:rPr>
                  <w:rFonts w:ascii="Cambria" w:hAnsi="Cambria" w:cstheme="minorBidi"/>
                  <w:i/>
                  <w:iCs/>
                  <w:color w:val="auto"/>
                  <w:kern w:val="2"/>
                  <w:sz w:val="22"/>
                  <w:szCs w:val="22"/>
                </w:rPr>
              </w:pPr>
              <w:r w:rsidRPr="00ED7645">
                <w:rPr>
                  <w:rFonts w:ascii="Cambria" w:hAnsi="Cambria" w:cstheme="minorBidi"/>
                  <w:i/>
                  <w:iCs/>
                  <w:color w:val="auto"/>
                  <w:kern w:val="2"/>
                  <w:sz w:val="22"/>
                  <w:szCs w:val="22"/>
                </w:rPr>
                <w:t xml:space="preserve">[……] </w:t>
              </w:r>
            </w:p>
            <w:p w14:paraId="281191D8" w14:textId="77777777" w:rsidR="009C6A3A" w:rsidRPr="00ED7645" w:rsidRDefault="009C6A3A" w:rsidP="009C6A3A">
              <w:pPr>
                <w:pStyle w:val="Default"/>
                <w:jc w:val="both"/>
                <w:rPr>
                  <w:rFonts w:ascii="Cambria" w:hAnsi="Cambria" w:cstheme="minorBidi"/>
                  <w:i/>
                  <w:iCs/>
                  <w:color w:val="auto"/>
                  <w:kern w:val="2"/>
                  <w:sz w:val="22"/>
                  <w:szCs w:val="22"/>
                </w:rPr>
              </w:pPr>
              <w:r w:rsidRPr="00ED7645">
                <w:rPr>
                  <w:rFonts w:ascii="Cambria" w:hAnsi="Cambria" w:cstheme="minorBidi"/>
                  <w:i/>
                  <w:iCs/>
                  <w:color w:val="auto"/>
                  <w:kern w:val="2"/>
                  <w:sz w:val="22"/>
                  <w:szCs w:val="22"/>
                </w:rPr>
                <w:t>β. Η αγορά επίπλων και σκευών γραφείου, εκτός εάν αποτελούν μέρος του ξενοδοχειακού εξοπλισμού, ή είναι βασικό τμήμα του παραγωγικού εξοπλισμού της επένδυσης, ή περιλαμβάνονται στις δαπάνες εκκίνησης του καθεστώτος «Καθεστώς κοινωνικής επιχειρηματικότητας και χειροτεχνίας» του Μέρους Β`.</w:t>
              </w:r>
            </w:p>
            <w:p w14:paraId="4514C2D7" w14:textId="77777777" w:rsidR="009C6A3A" w:rsidRPr="00ED7645" w:rsidRDefault="009C6A3A" w:rsidP="009C6A3A">
              <w:pPr>
                <w:pStyle w:val="Default"/>
                <w:jc w:val="both"/>
                <w:rPr>
                  <w:rFonts w:ascii="Cambria" w:hAnsi="Cambria" w:cstheme="minorBidi"/>
                  <w:i/>
                  <w:iCs/>
                  <w:color w:val="auto"/>
                  <w:kern w:val="2"/>
                  <w:sz w:val="22"/>
                  <w:szCs w:val="22"/>
                </w:rPr>
              </w:pPr>
              <w:r w:rsidRPr="00ED7645">
                <w:rPr>
                  <w:rFonts w:ascii="Cambria" w:hAnsi="Cambria" w:cstheme="minorBidi"/>
                  <w:i/>
                  <w:iCs/>
                  <w:color w:val="auto"/>
                  <w:kern w:val="2"/>
                  <w:sz w:val="22"/>
                  <w:szCs w:val="22"/>
                </w:rPr>
                <w:t xml:space="preserve">γ. Η αγορά επιβατικών αυτοκινήτων έως έξι (6) θέσεων, </w:t>
              </w:r>
              <w:r w:rsidRPr="00ED7645">
                <w:rPr>
                  <w:rFonts w:ascii="Cambria" w:hAnsi="Cambria" w:cstheme="minorBidi"/>
                  <w:b/>
                  <w:bCs/>
                  <w:i/>
                  <w:iCs/>
                  <w:color w:val="auto"/>
                  <w:kern w:val="2"/>
                  <w:sz w:val="22"/>
                  <w:szCs w:val="22"/>
                </w:rPr>
                <w:t xml:space="preserve">με εξαίρεση οχήματα προσβάσιμα στα άτομα με αναπηρία που χρησιμοποιούνται για τη μεταφορά τους </w:t>
              </w:r>
              <w:r w:rsidRPr="00ED7645">
                <w:rPr>
                  <w:rFonts w:ascii="Cambria" w:hAnsi="Cambria" w:cstheme="minorBidi"/>
                  <w:i/>
                  <w:iCs/>
                  <w:color w:val="auto"/>
                  <w:kern w:val="2"/>
                  <w:sz w:val="22"/>
                  <w:szCs w:val="22"/>
                </w:rPr>
                <w:t>[…]».</w:t>
              </w:r>
            </w:p>
            <w:p w14:paraId="7AF2A531" w14:textId="77777777" w:rsidR="009C6A3A" w:rsidRPr="00ED7645" w:rsidRDefault="009C6A3A" w:rsidP="009C6A3A">
              <w:pPr>
                <w:pStyle w:val="Default"/>
                <w:jc w:val="both"/>
                <w:rPr>
                  <w:rFonts w:ascii="Cambria" w:hAnsi="Cambria" w:cstheme="minorBidi"/>
                  <w:b/>
                  <w:bCs/>
                  <w:color w:val="auto"/>
                  <w:kern w:val="2"/>
                  <w:sz w:val="22"/>
                  <w:szCs w:val="22"/>
                  <w:u w:val="single"/>
                </w:rPr>
              </w:pPr>
              <w:r w:rsidRPr="00ED7645">
                <w:rPr>
                  <w:rFonts w:ascii="Cambria" w:hAnsi="Cambria" w:cstheme="minorBidi"/>
                  <w:b/>
                  <w:bCs/>
                  <w:color w:val="auto"/>
                  <w:kern w:val="2"/>
                  <w:sz w:val="22"/>
                  <w:szCs w:val="22"/>
                  <w:u w:val="single"/>
                </w:rPr>
                <w:lastRenderedPageBreak/>
                <w:t xml:space="preserve">2. </w:t>
              </w:r>
              <w:r>
                <w:rPr>
                  <w:rFonts w:ascii="Cambria" w:hAnsi="Cambria" w:cstheme="minorBidi"/>
                  <w:b/>
                  <w:bCs/>
                  <w:color w:val="auto"/>
                  <w:kern w:val="2"/>
                  <w:sz w:val="22"/>
                  <w:szCs w:val="22"/>
                  <w:u w:val="single"/>
                </w:rPr>
                <w:t xml:space="preserve"> </w:t>
              </w:r>
              <w:r w:rsidRPr="00ED7645">
                <w:rPr>
                  <w:rFonts w:ascii="Cambria" w:hAnsi="Cambria" w:cstheme="minorBidi"/>
                  <w:b/>
                  <w:bCs/>
                  <w:color w:val="auto"/>
                  <w:kern w:val="2"/>
                  <w:sz w:val="22"/>
                  <w:szCs w:val="22"/>
                  <w:u w:val="single"/>
                </w:rPr>
                <w:t>Άρθρο 9 - Είδη ενισχύσεων - Κίνητρα - Τροποποίηση άρθρου 9 ν. 4887/2022</w:t>
              </w:r>
            </w:p>
            <w:p w14:paraId="49B850DF" w14:textId="77777777" w:rsidR="009C6A3A" w:rsidRPr="00ED7645" w:rsidRDefault="009C6A3A" w:rsidP="009C6A3A">
              <w:pPr>
                <w:spacing w:after="0" w:line="240" w:lineRule="auto"/>
              </w:pPr>
              <w:bookmarkStart w:id="7" w:name="_Hlk196833179"/>
              <w:r w:rsidRPr="00ED7645">
                <w:t xml:space="preserve">Στις προτεινόμενες τροποποιήσεις του άρθρου 9 του ν.4887/2022 να συμπεριληφθούν  και οι παρακάτω (βλ. με έντονη γραμματοσειρά): </w:t>
              </w:r>
            </w:p>
            <w:bookmarkEnd w:id="7"/>
            <w:p w14:paraId="3F034F75" w14:textId="77777777" w:rsidR="009C6A3A" w:rsidRPr="00ED7645" w:rsidRDefault="009C6A3A" w:rsidP="009C6A3A">
              <w:pPr>
                <w:spacing w:after="0" w:line="240" w:lineRule="auto"/>
                <w:rPr>
                  <w:i/>
                  <w:iCs/>
                </w:rPr>
              </w:pPr>
              <w:r w:rsidRPr="00ED7645">
                <w:rPr>
                  <w:i/>
                  <w:iCs/>
                </w:rPr>
                <w:t>«Άρθρο 9 - Είδη ενισχύσεων-Κίνητρα</w:t>
              </w:r>
            </w:p>
            <w:p w14:paraId="7D0C0A2D" w14:textId="77777777" w:rsidR="009C6A3A" w:rsidRPr="00ED7645" w:rsidRDefault="009C6A3A" w:rsidP="009C6A3A">
              <w:pPr>
                <w:spacing w:after="0" w:line="240" w:lineRule="auto"/>
                <w:rPr>
                  <w:i/>
                  <w:iCs/>
                </w:rPr>
              </w:pPr>
              <w:r w:rsidRPr="00ED7645">
                <w:rPr>
                  <w:i/>
                  <w:iCs/>
                </w:rPr>
                <w:t>1. Στα επενδυτικά σχέδια τα οποία υπάγονται στα καθεστώτα ενισχύσεων του παρόντος παρέχονται τα ακόλουθα είδη ενισχύσεων:</w:t>
              </w:r>
            </w:p>
            <w:p w14:paraId="51EF55E9" w14:textId="77777777" w:rsidR="009C6A3A" w:rsidRPr="00ED7645" w:rsidRDefault="009C6A3A" w:rsidP="009C6A3A">
              <w:pPr>
                <w:spacing w:after="0" w:line="240" w:lineRule="auto"/>
                <w:rPr>
                  <w:i/>
                  <w:iCs/>
                </w:rPr>
              </w:pPr>
              <w:r w:rsidRPr="00ED7645">
                <w:rPr>
                  <w:i/>
                  <w:iCs/>
                </w:rPr>
                <w:t xml:space="preserve">[….] </w:t>
              </w:r>
            </w:p>
            <w:p w14:paraId="65BFA555" w14:textId="12A5D15E" w:rsidR="009C6A3A" w:rsidRPr="00ED7645" w:rsidRDefault="009C6A3A" w:rsidP="009C6A3A">
              <w:pPr>
                <w:spacing w:after="0" w:line="240" w:lineRule="auto"/>
                <w:rPr>
                  <w:i/>
                  <w:iCs/>
                </w:rPr>
              </w:pPr>
              <w:r w:rsidRPr="00ED7645">
                <w:rPr>
                  <w:i/>
                  <w:iCs/>
                </w:rPr>
                <w:t>δ. Επιδότηση του κόστους της δημιουργούμενης απασχόλησης -</w:t>
              </w:r>
              <w:r w:rsidRPr="00ED7645">
                <w:rPr>
                  <w:b/>
                  <w:bCs/>
                  <w:i/>
                  <w:iCs/>
                </w:rPr>
                <w:t>καθώς</w:t>
              </w:r>
              <w:r w:rsidRPr="00ED7645">
                <w:rPr>
                  <w:i/>
                  <w:iCs/>
                </w:rPr>
                <w:t xml:space="preserve"> </w:t>
              </w:r>
              <w:r w:rsidRPr="00ED7645">
                <w:rPr>
                  <w:b/>
                  <w:bCs/>
                  <w:i/>
                  <w:iCs/>
                </w:rPr>
                <w:t>και των εύλογων προσαρμογών σε περίπτωση δημιουργίας θέσεων εργασίας για άτομα με αναπηρία</w:t>
              </w:r>
              <w:r w:rsidRPr="00ED7645">
                <w:rPr>
                  <w:i/>
                  <w:iCs/>
                </w:rPr>
                <w:t xml:space="preserve">- η οποία συνίσταται στην κάλυψη από το Δημόσιο μέρους του μισθολογικού κόστους των νέων θέσεων εργασίας που δημιουργούνται και συνδέονται με το επενδυτικό σχέδιο και για τις οποίες δεν λαμβάνεται καμία άλλη κρατική ενίσχυση.[…]» </w:t>
              </w:r>
            </w:p>
            <w:p w14:paraId="043697FB" w14:textId="77777777" w:rsidR="009C6A3A" w:rsidRPr="00ED7645" w:rsidRDefault="009C6A3A" w:rsidP="009C6A3A">
              <w:pPr>
                <w:spacing w:after="0" w:line="240" w:lineRule="auto"/>
                <w:rPr>
                  <w:u w:val="single"/>
                </w:rPr>
              </w:pPr>
            </w:p>
            <w:p w14:paraId="3D713374" w14:textId="31387052" w:rsidR="009C6A3A" w:rsidRPr="00ED7645" w:rsidRDefault="009C6A3A" w:rsidP="009C6A3A">
              <w:pPr>
                <w:spacing w:after="0" w:line="240" w:lineRule="auto"/>
              </w:pPr>
              <w:r w:rsidRPr="00ED7645">
                <w:t>Αντιστοίχως πρέπει να συμπληρωθεί και η παρ. 4 του άρθρου 24-Περιεχόμενο και Καταβολή Ενισχύσεων</w:t>
              </w:r>
              <w:r w:rsidR="007D010A">
                <w:t xml:space="preserve"> του ν.4887/2022</w:t>
              </w:r>
              <w:r w:rsidRPr="00ED7645">
                <w:t xml:space="preserve">, η οποία τροποποιείται με το άρθρο 21του παρόντος σχεδίου νόμου. </w:t>
              </w:r>
            </w:p>
            <w:p w14:paraId="3ACFB69E" w14:textId="77777777" w:rsidR="009C6A3A" w:rsidRPr="00ED7645" w:rsidRDefault="009C6A3A" w:rsidP="009C6A3A">
              <w:pPr>
                <w:spacing w:after="0" w:line="240" w:lineRule="auto"/>
              </w:pPr>
            </w:p>
            <w:p w14:paraId="4D9D9E32" w14:textId="77777777" w:rsidR="009C6A3A" w:rsidRPr="004D6AB3" w:rsidRDefault="009C6A3A" w:rsidP="009C6A3A">
              <w:pPr>
                <w:spacing w:after="0" w:line="240" w:lineRule="auto"/>
                <w:rPr>
                  <w:b/>
                  <w:bCs/>
                  <w:u w:val="single"/>
                </w:rPr>
              </w:pPr>
              <w:r w:rsidRPr="004D6AB3">
                <w:rPr>
                  <w:b/>
                  <w:bCs/>
                  <w:u w:val="single"/>
                </w:rPr>
                <w:t xml:space="preserve">3. </w:t>
              </w:r>
              <w:r>
                <w:rPr>
                  <w:b/>
                  <w:bCs/>
                  <w:u w:val="single"/>
                </w:rPr>
                <w:t xml:space="preserve"> </w:t>
              </w:r>
              <w:r w:rsidRPr="004D6AB3">
                <w:rPr>
                  <w:b/>
                  <w:bCs/>
                  <w:u w:val="single"/>
                </w:rPr>
                <w:t>Προσθήκη νέου Άρθρου 16 μετά το άρθρο 15</w:t>
              </w:r>
            </w:p>
            <w:p w14:paraId="32CAB2FD" w14:textId="3673C06D" w:rsidR="009C6A3A" w:rsidRPr="00ED7645" w:rsidRDefault="009C6A3A" w:rsidP="009C6A3A">
              <w:pPr>
                <w:spacing w:after="0" w:line="240" w:lineRule="auto"/>
              </w:pPr>
              <w:r w:rsidRPr="00ED7645">
                <w:t>Προτείνεται η προσθήκη νέου άρθρου 16, αμέσως μετά το άρθρο 15, με τίτλο: «Άρθρο 16-Περιεχόμενο αξιολόγησης-Τροποποίηση άρθρου 18 του ν. 4</w:t>
              </w:r>
              <w:r>
                <w:t>8</w:t>
              </w:r>
              <w:r w:rsidRPr="00ED7645">
                <w:t>8</w:t>
              </w:r>
              <w:r w:rsidR="00E54F37">
                <w:t>7</w:t>
              </w:r>
              <w:r w:rsidRPr="00ED7645">
                <w:t xml:space="preserve">/2022». Παράλληλα, προτείνεται η </w:t>
              </w:r>
              <w:proofErr w:type="spellStart"/>
              <w:r w:rsidRPr="00ED7645">
                <w:t>αναρίθμηση</w:t>
              </w:r>
              <w:proofErr w:type="spellEnd"/>
              <w:r w:rsidRPr="00ED7645">
                <w:t xml:space="preserve"> των επόμενων άρθρων του Σχεδίου Νόμου, κατά τρόπο αντίστοιχο. </w:t>
              </w:r>
            </w:p>
            <w:p w14:paraId="2541710C" w14:textId="77777777" w:rsidR="009C6A3A" w:rsidRPr="00ED7645" w:rsidRDefault="009C6A3A" w:rsidP="009C6A3A">
              <w:pPr>
                <w:spacing w:after="0" w:line="240" w:lineRule="auto"/>
              </w:pPr>
              <w:r w:rsidRPr="00ED7645">
                <w:t xml:space="preserve">Στο νέο άρθρο προτείνεται να συμπεριληφθεί η εξής προσθήκη (βλ. με έντονη γραμματοσειρά): </w:t>
              </w:r>
            </w:p>
            <w:p w14:paraId="5A9AAABB" w14:textId="77777777" w:rsidR="009C6A3A" w:rsidRPr="00ED7645" w:rsidRDefault="009C6A3A" w:rsidP="009C6A3A">
              <w:pPr>
                <w:spacing w:after="0" w:line="240" w:lineRule="auto"/>
                <w:rPr>
                  <w:i/>
                  <w:iCs/>
                </w:rPr>
              </w:pPr>
              <w:r w:rsidRPr="00ED7645">
                <w:rPr>
                  <w:b/>
                  <w:bCs/>
                  <w:i/>
                  <w:iCs/>
                </w:rPr>
                <w:t>«</w:t>
              </w:r>
              <w:r w:rsidRPr="00ED7645">
                <w:rPr>
                  <w:i/>
                  <w:iCs/>
                </w:rPr>
                <w:t>Άρθρο 18-Περιεχόμενα Αξιολόγησης</w:t>
              </w:r>
            </w:p>
            <w:p w14:paraId="7A94ABCF" w14:textId="77777777" w:rsidR="009C6A3A" w:rsidRPr="00ED7645" w:rsidRDefault="009C6A3A" w:rsidP="009C6A3A">
              <w:pPr>
                <w:spacing w:after="0" w:line="240" w:lineRule="auto"/>
                <w:rPr>
                  <w:i/>
                  <w:iCs/>
                </w:rPr>
              </w:pPr>
              <w:r w:rsidRPr="00ED7645">
                <w:rPr>
                  <w:i/>
                  <w:iCs/>
                </w:rPr>
                <w:t>Για την υπαγωγή στα καθεστώτα του Μέρους Β' απαιτείται η διενέργεια αξιολόγησης των επενδυτικών σχεδίων, η οποία περιλαμβάνει έλεγχο νομιμότητας, καθώς και αξιολόγηση εύλογου κόστους και έλεγχο δεικτών βαθμολογίας:</w:t>
              </w:r>
            </w:p>
            <w:p w14:paraId="34902946" w14:textId="77777777" w:rsidR="009C6A3A" w:rsidRPr="00ED7645" w:rsidRDefault="009C6A3A" w:rsidP="009C6A3A">
              <w:pPr>
                <w:spacing w:after="0" w:line="240" w:lineRule="auto"/>
                <w:rPr>
                  <w:i/>
                  <w:iCs/>
                </w:rPr>
              </w:pPr>
              <w:r w:rsidRPr="00ED7645">
                <w:rPr>
                  <w:i/>
                  <w:iCs/>
                </w:rPr>
                <w:t>α. Ο έλεγχος νομιμότητας, για κάθε επενδυτικό σχέδιο περιλαμβάνει με ποινή αποκλεισμού τα εξής:</w:t>
              </w:r>
            </w:p>
            <w:p w14:paraId="198C2CB0" w14:textId="77777777" w:rsidR="009C6A3A" w:rsidRPr="00ED7645" w:rsidRDefault="009C6A3A" w:rsidP="009C6A3A">
              <w:pPr>
                <w:spacing w:after="0" w:line="240" w:lineRule="auto"/>
                <w:rPr>
                  <w:i/>
                  <w:iCs/>
                </w:rPr>
              </w:pPr>
              <w:proofErr w:type="spellStart"/>
              <w:r w:rsidRPr="00ED7645">
                <w:rPr>
                  <w:i/>
                  <w:iCs/>
                </w:rPr>
                <w:t>αα</w:t>
              </w:r>
              <w:proofErr w:type="spellEnd"/>
              <w:r w:rsidRPr="00ED7645">
                <w:rPr>
                  <w:i/>
                  <w:iCs/>
                </w:rPr>
                <w:t>. Πλήρη συμμόρφωση της αίτησης υπαγωγής και του υπό έγκριση επενδυτικού σχεδίου με τον παρόντα και τους όρους της προκήρυξης,</w:t>
              </w:r>
            </w:p>
            <w:p w14:paraId="319B0FA4" w14:textId="77777777" w:rsidR="009C6A3A" w:rsidRPr="00ED7645" w:rsidRDefault="009C6A3A" w:rsidP="009C6A3A">
              <w:pPr>
                <w:spacing w:after="0" w:line="240" w:lineRule="auto"/>
                <w:rPr>
                  <w:i/>
                  <w:iCs/>
                </w:rPr>
              </w:pPr>
              <w:r w:rsidRPr="00ED7645">
                <w:rPr>
                  <w:i/>
                  <w:iCs/>
                </w:rPr>
                <w:t xml:space="preserve">[…] </w:t>
              </w:r>
            </w:p>
            <w:p w14:paraId="24B3C6CB" w14:textId="77777777" w:rsidR="009C6A3A" w:rsidRPr="00ED7645" w:rsidRDefault="009C6A3A" w:rsidP="009C6A3A">
              <w:pPr>
                <w:spacing w:after="0" w:line="240" w:lineRule="auto"/>
                <w:rPr>
                  <w:i/>
                  <w:iCs/>
                </w:rPr>
              </w:pPr>
              <w:proofErr w:type="spellStart"/>
              <w:r w:rsidRPr="00ED7645">
                <w:rPr>
                  <w:b/>
                  <w:bCs/>
                  <w:i/>
                  <w:iCs/>
                </w:rPr>
                <w:t>αδ</w:t>
              </w:r>
              <w:proofErr w:type="spellEnd"/>
              <w:r w:rsidRPr="00ED7645">
                <w:rPr>
                  <w:b/>
                  <w:bCs/>
                  <w:i/>
                  <w:iCs/>
                </w:rPr>
                <w:t>. διασφάλιση προσβασιμότητας υποδομών και υπηρεσιών</w:t>
              </w:r>
              <w:r>
                <w:rPr>
                  <w:b/>
                  <w:bCs/>
                  <w:i/>
                  <w:iCs/>
                </w:rPr>
                <w:t xml:space="preserve">, </w:t>
              </w:r>
              <w:r w:rsidRPr="00ED7645">
                <w:rPr>
                  <w:b/>
                  <w:bCs/>
                  <w:i/>
                  <w:iCs/>
                </w:rPr>
                <w:t>συμβατικών και ψηφιακών</w:t>
              </w:r>
              <w:r>
                <w:rPr>
                  <w:b/>
                  <w:bCs/>
                  <w:i/>
                  <w:iCs/>
                </w:rPr>
                <w:t>,</w:t>
              </w:r>
              <w:r w:rsidRPr="00ED7645">
                <w:rPr>
                  <w:b/>
                  <w:bCs/>
                  <w:i/>
                  <w:iCs/>
                </w:rPr>
                <w:t xml:space="preserve"> σε άτομα με αναπηρία</w:t>
              </w:r>
              <w:r w:rsidRPr="00ED7645">
                <w:rPr>
                  <w:i/>
                  <w:iCs/>
                </w:rPr>
                <w:t xml:space="preserve">. […]. </w:t>
              </w:r>
            </w:p>
            <w:p w14:paraId="1FDE26C6" w14:textId="77777777" w:rsidR="009C6A3A" w:rsidRPr="00ED7645" w:rsidRDefault="009C6A3A" w:rsidP="009C6A3A">
              <w:pPr>
                <w:spacing w:after="0" w:line="240" w:lineRule="auto"/>
              </w:pPr>
            </w:p>
            <w:p w14:paraId="28824948" w14:textId="19534166" w:rsidR="009C6A3A" w:rsidRPr="004D6AB3" w:rsidRDefault="009C6A3A" w:rsidP="009C6A3A">
              <w:pPr>
                <w:spacing w:after="0" w:line="240" w:lineRule="auto"/>
                <w:rPr>
                  <w:b/>
                  <w:bCs/>
                  <w:u w:val="single"/>
                </w:rPr>
              </w:pPr>
              <w:r w:rsidRPr="004D6AB3">
                <w:rPr>
                  <w:b/>
                  <w:bCs/>
                  <w:u w:val="single"/>
                </w:rPr>
                <w:t xml:space="preserve">4. </w:t>
              </w:r>
              <w:r>
                <w:rPr>
                  <w:b/>
                  <w:bCs/>
                  <w:u w:val="single"/>
                </w:rPr>
                <w:t xml:space="preserve"> </w:t>
              </w:r>
              <w:r w:rsidRPr="004D6AB3">
                <w:rPr>
                  <w:b/>
                  <w:bCs/>
                  <w:u w:val="single"/>
                </w:rPr>
                <w:t>Άρθρο 29-Σκοπός-Αντικατά</w:t>
              </w:r>
              <w:r w:rsidR="00CA4A87">
                <w:rPr>
                  <w:b/>
                  <w:bCs/>
                  <w:u w:val="single"/>
                </w:rPr>
                <w:t>σταση</w:t>
              </w:r>
              <w:r w:rsidRPr="004D6AB3">
                <w:rPr>
                  <w:b/>
                  <w:bCs/>
                  <w:u w:val="single"/>
                </w:rPr>
                <w:t xml:space="preserve"> άρθρου 31 ν.4887/2022 </w:t>
              </w:r>
            </w:p>
            <w:p w14:paraId="29421058" w14:textId="77777777" w:rsidR="009C6A3A" w:rsidRPr="00ED7645" w:rsidRDefault="009C6A3A" w:rsidP="009C6A3A">
              <w:pPr>
                <w:spacing w:after="0" w:line="240" w:lineRule="auto"/>
              </w:pPr>
              <w:bookmarkStart w:id="8" w:name="_Hlk196833517"/>
              <w:r w:rsidRPr="00ED7645">
                <w:t>Στις προτεινόμενες τροποποιήσεις του άρθρου 31 του ν.4887/2022 να συμπεριληφθεί και η παρακάτω προσθήκη (βλ. με έντονη γραμματοσειρά):</w:t>
              </w:r>
            </w:p>
            <w:bookmarkEnd w:id="8"/>
            <w:p w14:paraId="6679DADB" w14:textId="77777777" w:rsidR="009C6A3A" w:rsidRPr="00ED7645" w:rsidRDefault="009C6A3A" w:rsidP="009C6A3A">
              <w:pPr>
                <w:spacing w:after="0" w:line="240" w:lineRule="auto"/>
                <w:rPr>
                  <w:i/>
                  <w:iCs/>
                </w:rPr>
              </w:pPr>
              <w:r w:rsidRPr="00ED7645">
                <w:rPr>
                  <w:i/>
                  <w:iCs/>
                </w:rPr>
                <w:t>«Άρθρο 31- Σκοπός</w:t>
              </w:r>
            </w:p>
            <w:p w14:paraId="66E78E31" w14:textId="258812BA" w:rsidR="009C6A3A" w:rsidRPr="00D40627" w:rsidRDefault="009C6A3A" w:rsidP="00D40627">
              <w:pPr>
                <w:spacing w:after="0" w:line="240" w:lineRule="auto"/>
                <w:rPr>
                  <w:i/>
                  <w:iCs/>
                </w:rPr>
              </w:pPr>
              <w:r w:rsidRPr="00ED7645">
                <w:rPr>
                  <w:i/>
                  <w:iCs/>
                </w:rPr>
                <w:t xml:space="preserve">Σκοπός του παρόντος καθεστώτος είναι η ενίσχυση των επενδυτικών σχεδίων στους τομείς της τεχνολογίας, βιοτεχνολογίας, τεχνολογίας επικοινωνιών και πληροφορίας, τεχνητής νοημοσύνης, του ψηφιακού και τεχνολογικού μετασχηματισμού των επιχειρήσεων, </w:t>
              </w:r>
              <w:r w:rsidRPr="00ED7645">
                <w:rPr>
                  <w:b/>
                  <w:bCs/>
                  <w:i/>
                  <w:iCs/>
                </w:rPr>
                <w:t>της</w:t>
              </w:r>
              <w:r w:rsidRPr="00ED7645">
                <w:rPr>
                  <w:i/>
                  <w:iCs/>
                </w:rPr>
                <w:t xml:space="preserve"> </w:t>
              </w:r>
              <w:r w:rsidRPr="00ED7645">
                <w:rPr>
                  <w:b/>
                  <w:bCs/>
                  <w:i/>
                  <w:iCs/>
                </w:rPr>
                <w:t>ψηφιακής προσβασιμότητας</w:t>
              </w:r>
              <w:r w:rsidRPr="00ED7645">
                <w:rPr>
                  <w:i/>
                  <w:iCs/>
                </w:rPr>
                <w:t>, της χρήσης νέων τεχνολογιών στη βιομηχανία με ταυτόχρονη αναβάθμιση των σχετικών δεξιοτήτων του ανθρώπινου δυναμικού, της έρευνας, της ανάπτυξης και της εφαρμογής ιδεών και τεχνολογιών, που βελτιώνουν τα αγαθά και τις υπηρεσίες και καθιστούν την παραγωγή αποδοτικότερη.».</w:t>
              </w:r>
            </w:p>
            <w:p w14:paraId="3F855344" w14:textId="2A39F291" w:rsidR="009C6A3A" w:rsidRPr="004D6AB3" w:rsidRDefault="008B3367" w:rsidP="009C6A3A">
              <w:pPr>
                <w:autoSpaceDE w:val="0"/>
                <w:autoSpaceDN w:val="0"/>
                <w:adjustRightInd w:val="0"/>
                <w:spacing w:after="0" w:line="240" w:lineRule="auto"/>
                <w:rPr>
                  <w:rFonts w:cs="Cambria"/>
                  <w:b/>
                  <w:bCs/>
                  <w:u w:val="single"/>
                </w:rPr>
              </w:pPr>
              <w:r>
                <w:rPr>
                  <w:rFonts w:cs="Cambria"/>
                  <w:b/>
                  <w:bCs/>
                  <w:u w:val="single"/>
                </w:rPr>
                <w:lastRenderedPageBreak/>
                <w:t>5</w:t>
              </w:r>
              <w:r w:rsidR="009C6A3A" w:rsidRPr="004D6AB3">
                <w:rPr>
                  <w:rFonts w:cs="Cambria"/>
                  <w:b/>
                  <w:bCs/>
                  <w:u w:val="single"/>
                </w:rPr>
                <w:t xml:space="preserve">. Άρθρο 88-Εξουσιοδοτικές διατάξεις-Τροποποίηση άρθρου 129 ν.4887/2022 </w:t>
              </w:r>
            </w:p>
            <w:p w14:paraId="78D83450" w14:textId="77777777" w:rsidR="009C6A3A" w:rsidRPr="00ED7645" w:rsidRDefault="009C6A3A" w:rsidP="009C6A3A">
              <w:pPr>
                <w:spacing w:after="0"/>
                <w:rPr>
                  <w:b/>
                  <w:bCs/>
                  <w:i/>
                  <w:iCs/>
                </w:rPr>
              </w:pPr>
              <w:r w:rsidRPr="00ED7645">
                <w:t>Το άρθρο 129 του ν.4887/2022  να συμπληρωθεί ως ακολούθως</w:t>
              </w:r>
              <w:r w:rsidRPr="006C7889">
                <w:t xml:space="preserve"> (βλ. με έντονη γραμματοσειρά)</w:t>
              </w:r>
              <w:r w:rsidRPr="00ED7645">
                <w:t>:</w:t>
              </w:r>
              <w:r w:rsidRPr="00ED7645">
                <w:rPr>
                  <w:b/>
                  <w:bCs/>
                  <w:i/>
                  <w:iCs/>
                </w:rPr>
                <w:t xml:space="preserve"> </w:t>
              </w:r>
            </w:p>
            <w:p w14:paraId="195BCE63" w14:textId="77777777" w:rsidR="009C6A3A" w:rsidRPr="007606A6" w:rsidRDefault="009C6A3A" w:rsidP="007606A6">
              <w:pPr>
                <w:autoSpaceDE w:val="0"/>
                <w:autoSpaceDN w:val="0"/>
                <w:adjustRightInd w:val="0"/>
                <w:spacing w:after="0" w:line="240" w:lineRule="auto"/>
                <w:rPr>
                  <w:rFonts w:cs="Cambria"/>
                  <w:i/>
                  <w:iCs/>
                </w:rPr>
              </w:pPr>
              <w:r w:rsidRPr="007606A6">
                <w:rPr>
                  <w:i/>
                  <w:iCs/>
                </w:rPr>
                <w:t>«</w:t>
              </w:r>
              <w:r w:rsidRPr="007606A6">
                <w:rPr>
                  <w:rFonts w:cs="Cambria"/>
                  <w:i/>
                  <w:iCs/>
                </w:rPr>
                <w:t>Άρθρο 129</w:t>
              </w:r>
            </w:p>
            <w:p w14:paraId="7209600A" w14:textId="77777777" w:rsidR="009C6A3A" w:rsidRPr="007606A6" w:rsidRDefault="009C6A3A" w:rsidP="007606A6">
              <w:pPr>
                <w:autoSpaceDE w:val="0"/>
                <w:autoSpaceDN w:val="0"/>
                <w:adjustRightInd w:val="0"/>
                <w:spacing w:after="0" w:line="240" w:lineRule="auto"/>
                <w:rPr>
                  <w:rFonts w:cs="Cambria"/>
                  <w:i/>
                  <w:iCs/>
                </w:rPr>
              </w:pPr>
              <w:r w:rsidRPr="007606A6">
                <w:rPr>
                  <w:rFonts w:cs="Cambria"/>
                  <w:i/>
                  <w:iCs/>
                </w:rPr>
                <w:t>Εξουσιοδοτικές διατάξεις</w:t>
              </w:r>
            </w:p>
            <w:p w14:paraId="6CB642B0" w14:textId="77777777" w:rsidR="009C6A3A" w:rsidRPr="007606A6" w:rsidRDefault="009C6A3A" w:rsidP="007606A6">
              <w:pPr>
                <w:autoSpaceDE w:val="0"/>
                <w:autoSpaceDN w:val="0"/>
                <w:adjustRightInd w:val="0"/>
                <w:spacing w:after="0" w:line="240" w:lineRule="auto"/>
                <w:rPr>
                  <w:rFonts w:cs="Cambria"/>
                  <w:i/>
                  <w:iCs/>
                </w:rPr>
              </w:pPr>
              <w:r w:rsidRPr="007606A6">
                <w:rPr>
                  <w:rFonts w:cs="Cambria"/>
                  <w:i/>
                  <w:iCs/>
                </w:rPr>
                <w:t xml:space="preserve">1. Με απόφαση του Υπουργού Ανάπτυξης και τυχόν συναρμόδιων Υπουργών δύναται να υπάγονται στον παρόντα νόμο και επενδυτικά σχέδια για ενισχύσεις με βάση άλλες κανονιστικές πράξεις της Ευρωπαϊκής Ένωσης, κατόπιν εξειδίκευσης των όρων και προϋποθέσεων υπαγωγής […] </w:t>
              </w:r>
            </w:p>
            <w:p w14:paraId="1C436EBA" w14:textId="508473FA" w:rsidR="009C6A3A" w:rsidRPr="009C6A3A" w:rsidRDefault="009C6A3A" w:rsidP="00B4410D">
              <w:pPr>
                <w:autoSpaceDE w:val="0"/>
                <w:autoSpaceDN w:val="0"/>
                <w:adjustRightInd w:val="0"/>
                <w:spacing w:after="0" w:line="240" w:lineRule="auto"/>
                <w:rPr>
                  <w:b/>
                  <w:bCs/>
                  <w:i/>
                  <w:iCs/>
                </w:rPr>
              </w:pPr>
              <w:r w:rsidRPr="007606A6">
                <w:rPr>
                  <w:rFonts w:cs="Cambria"/>
                  <w:b/>
                  <w:bCs/>
                  <w:i/>
                  <w:iCs/>
                </w:rPr>
                <w:t>21. Με Κοινή Απόφαση του Υπουργού Ανάπτυξης και Επενδύσεων και του καθ’ ύλην αρμόδιου Υπουργού, κατόπιν διαβούλευσης με την Ε.Σ.Α.μεΑ., καθορίζονται οι προδιαγραφές που πρέπει να πληρούν τα επενδυτικά σχέδια για τη διασφάλιση της προσβασιμότητάς τους στα άτομα με αναπηρία</w:t>
              </w:r>
              <w:r w:rsidRPr="007606A6">
                <w:rPr>
                  <w:rFonts w:cs="Cambria"/>
                  <w:i/>
                  <w:iCs/>
                </w:rPr>
                <w:t xml:space="preserve">.» </w:t>
              </w:r>
              <w:bookmarkStart w:id="9" w:name="_GoBack"/>
              <w:bookmarkEnd w:id="9"/>
            </w:p>
            <w:p w14:paraId="74C091A0" w14:textId="1D90997D" w:rsidR="00091240" w:rsidRDefault="00B50ABE" w:rsidP="00B4410D">
              <w:pPr>
                <w:pStyle w:val="ListParagraph"/>
                <w:tabs>
                  <w:tab w:val="left" w:pos="284"/>
                </w:tabs>
                <w:suppressAutoHyphens/>
                <w:autoSpaceDN w:val="0"/>
                <w:spacing w:after="160" w:line="240" w:lineRule="auto"/>
                <w:ind w:left="0"/>
                <w:contextualSpacing w:val="0"/>
              </w:pPr>
              <w:r>
                <w:rPr>
                  <w:rFonts w:cstheme="minorHAnsi"/>
                </w:rPr>
                <w:t xml:space="preserve">Ελπίζουμε να ανταποκριθείτε θετικά στις εύλογες και δίκαιες προτάσεις μας.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06B6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06B6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406B60"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406B6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rPr>
          <w:rStyle w:val="BulletsChar"/>
        </w:r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0C8FE5F6" w14:textId="77777777" w:rsidR="00CE5B35" w:rsidRDefault="00CE5B35" w:rsidP="002266C5">
              <w:pPr>
                <w:pStyle w:val="Bullets0"/>
                <w:rPr>
                  <w:rStyle w:val="BulletsChar"/>
                </w:rPr>
              </w:pPr>
              <w:r w:rsidRPr="00CE5B35">
                <w:rPr>
                  <w:rStyle w:val="BulletsChar"/>
                </w:rPr>
                <w:t xml:space="preserve">κ. Π. </w:t>
              </w:r>
              <w:proofErr w:type="spellStart"/>
              <w:r w:rsidRPr="00CE5B35">
                <w:rPr>
                  <w:rStyle w:val="BulletsChar"/>
                </w:rPr>
                <w:t>Θεοδωρικάκο</w:t>
              </w:r>
              <w:proofErr w:type="spellEnd"/>
              <w:r w:rsidRPr="00CE5B35">
                <w:rPr>
                  <w:rStyle w:val="BulletsChar"/>
                </w:rPr>
                <w:t xml:space="preserve">, Υπουργό Ανάπτυξης </w:t>
              </w:r>
            </w:p>
            <w:p w14:paraId="30F369C7" w14:textId="7CBD7DCC" w:rsidR="0074796D" w:rsidRPr="0074796D" w:rsidRDefault="0074796D" w:rsidP="002266C5">
              <w:pPr>
                <w:pStyle w:val="Bullets0"/>
              </w:pPr>
              <w:r>
                <w:rPr>
                  <w:rStyle w:val="BulletsChar"/>
                </w:rPr>
                <w:t xml:space="preserve">κ. </w:t>
              </w:r>
              <w:r w:rsidRPr="0074796D">
                <w:rPr>
                  <w:rStyle w:val="BulletsChar"/>
                </w:rPr>
                <w:t>Χ</w:t>
              </w:r>
              <w:r>
                <w:rPr>
                  <w:rStyle w:val="BulletsChar"/>
                </w:rPr>
                <w:t xml:space="preserve">.-Γ. Σκέρτσο, Υπουργό Επικρατείας </w:t>
              </w:r>
              <w:r w:rsidR="00E54F37">
                <w:rPr>
                  <w:rStyle w:val="BulletsChar"/>
                </w:rPr>
                <w:t>-</w:t>
              </w:r>
              <w:r>
                <w:rPr>
                  <w:rStyle w:val="BulletsChar"/>
                </w:rPr>
                <w:t xml:space="preserve">Συντονιστικό Μηχανισμό </w:t>
              </w:r>
              <w:r w:rsidR="00E54F37">
                <w:rPr>
                  <w:rStyle w:val="BulletsChar"/>
                </w:rPr>
                <w:t xml:space="preserve">στην Κυβέρνηση του άρθρου </w:t>
              </w:r>
              <w:r w:rsidR="00E54F37" w:rsidRPr="00E54F37">
                <w:rPr>
                  <w:rStyle w:val="BulletsChar"/>
                </w:rPr>
                <w:t>69 του ν. 4488/2017</w:t>
              </w:r>
            </w:p>
            <w:p w14:paraId="634655BF" w14:textId="17CA9518" w:rsidR="002D0AB7" w:rsidRDefault="006F0E6D" w:rsidP="002266C5">
              <w:pPr>
                <w:pStyle w:val="Bullets0"/>
                <w:rPr>
                  <w:rStyle w:val="BulletsChar"/>
                </w:rPr>
              </w:pPr>
              <w:r>
                <w:rPr>
                  <w:rStyle w:val="BulletsChar"/>
                </w:rPr>
                <w:t xml:space="preserve">κα Σ. </w:t>
              </w:r>
              <w:r w:rsidRPr="006F0E6D">
                <w:rPr>
                  <w:rStyle w:val="BulletsChar"/>
                </w:rPr>
                <w:t>Σιαράπ</w:t>
              </w:r>
              <w:r>
                <w:rPr>
                  <w:rStyle w:val="BulletsChar"/>
                </w:rPr>
                <w:t>η</w:t>
              </w:r>
              <w:r w:rsidR="0007633E">
                <w:rPr>
                  <w:rStyle w:val="BulletsChar"/>
                </w:rPr>
                <w:t>,</w:t>
              </w:r>
              <w:r w:rsidRPr="006F0E6D">
                <w:rPr>
                  <w:rStyle w:val="BulletsChar"/>
                </w:rPr>
                <w:t xml:space="preserve"> Γενική Γραμματέα </w:t>
              </w:r>
              <w:r>
                <w:rPr>
                  <w:rStyle w:val="BulletsChar"/>
                </w:rPr>
                <w:t>Ιδιωτικών Επενδύσεων</w:t>
              </w:r>
              <w:r w:rsidR="00E54F37">
                <w:rPr>
                  <w:rStyle w:val="BulletsChar"/>
                </w:rPr>
                <w:t xml:space="preserve"> </w:t>
              </w:r>
            </w:p>
            <w:p w14:paraId="0EB6BC29" w14:textId="0775C2BF" w:rsidR="006F0E6D" w:rsidRPr="006F0E6D" w:rsidRDefault="00406B60" w:rsidP="00CE5B35">
              <w:pPr>
                <w:pStyle w:val="Bullets0"/>
                <w:numPr>
                  <w:ilvl w:val="0"/>
                  <w:numId w:val="0"/>
                </w:numPr>
                <w:ind w:left="567" w:hanging="295"/>
                <w:rPr>
                  <w:rStyle w:val="BulletsChar"/>
                </w:rPr>
              </w:pPr>
            </w:p>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06B6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F70E9" w14:textId="77777777" w:rsidR="00406B60" w:rsidRDefault="00406B60" w:rsidP="00A5663B">
      <w:pPr>
        <w:spacing w:after="0" w:line="240" w:lineRule="auto"/>
      </w:pPr>
      <w:r>
        <w:separator/>
      </w:r>
    </w:p>
    <w:p w14:paraId="15FB5936" w14:textId="77777777" w:rsidR="00406B60" w:rsidRDefault="00406B60"/>
  </w:endnote>
  <w:endnote w:type="continuationSeparator" w:id="0">
    <w:p w14:paraId="45A7FE08" w14:textId="77777777" w:rsidR="00406B60" w:rsidRDefault="00406B60" w:rsidP="00A5663B">
      <w:pPr>
        <w:spacing w:after="0" w:line="240" w:lineRule="auto"/>
      </w:pPr>
      <w:r>
        <w:continuationSeparator/>
      </w:r>
    </w:p>
    <w:p w14:paraId="58C95837" w14:textId="77777777" w:rsidR="00406B60" w:rsidRDefault="0040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B4410D">
              <w:rPr>
                <w:noProof/>
              </w:rPr>
              <w:t>5</w:t>
            </w:r>
            <w:r>
              <w:fldChar w:fldCharType="end"/>
            </w:r>
          </w:p>
          <w:p w14:paraId="02B2B1CB" w14:textId="77777777" w:rsidR="002D0AB7" w:rsidRPr="00042CAA" w:rsidRDefault="00406B60"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AB105" w14:textId="77777777" w:rsidR="00406B60" w:rsidRDefault="00406B60" w:rsidP="00A5663B">
      <w:pPr>
        <w:spacing w:after="0" w:line="240" w:lineRule="auto"/>
      </w:pPr>
      <w:bookmarkStart w:id="0" w:name="_Hlk484772647"/>
      <w:bookmarkEnd w:id="0"/>
      <w:r>
        <w:separator/>
      </w:r>
    </w:p>
    <w:p w14:paraId="7875CCBA" w14:textId="77777777" w:rsidR="00406B60" w:rsidRDefault="00406B60"/>
  </w:footnote>
  <w:footnote w:type="continuationSeparator" w:id="0">
    <w:p w14:paraId="49DD909C" w14:textId="77777777" w:rsidR="00406B60" w:rsidRDefault="00406B60" w:rsidP="00A5663B">
      <w:pPr>
        <w:spacing w:after="0" w:line="240" w:lineRule="auto"/>
      </w:pPr>
      <w:r>
        <w:continuationSeparator/>
      </w:r>
    </w:p>
    <w:p w14:paraId="540196B9" w14:textId="77777777" w:rsidR="00406B60" w:rsidRDefault="00406B60"/>
  </w:footnote>
  <w:footnote w:id="1">
    <w:p w14:paraId="4F981F8E" w14:textId="77777777" w:rsidR="009C6A3A" w:rsidRDefault="009C6A3A" w:rsidP="009C6A3A">
      <w:pPr>
        <w:pStyle w:val="FootnoteText"/>
      </w:pPr>
      <w:r>
        <w:rPr>
          <w:rStyle w:val="FootnoteReference"/>
        </w:rPr>
        <w:footnoteRef/>
      </w:r>
      <w:r>
        <w:t xml:space="preserve"> Διαθέσιμη στο: </w:t>
      </w:r>
      <w:hyperlink r:id="rId1" w:history="1">
        <w:r w:rsidRPr="00A16304">
          <w:rPr>
            <w:rStyle w:val="Hyperlink"/>
          </w:rPr>
          <w:t>https://amea.gov.gr/strategy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2FDF45C0"/>
    <w:multiLevelType w:val="hybridMultilevel"/>
    <w:tmpl w:val="3654898C"/>
    <w:lvl w:ilvl="0" w:tplc="04CC638A">
      <w:start w:val="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B06F55"/>
    <w:multiLevelType w:val="hybridMultilevel"/>
    <w:tmpl w:val="F90A8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8B7E60"/>
    <w:multiLevelType w:val="hybridMultilevel"/>
    <w:tmpl w:val="70723F7C"/>
    <w:lvl w:ilvl="0" w:tplc="04080011">
      <w:start w:val="1"/>
      <w:numFmt w:val="decimal"/>
      <w:lvlText w:val="%1)"/>
      <w:lvlJc w:val="left"/>
      <w:pPr>
        <w:ind w:left="3905" w:hanging="360"/>
      </w:pPr>
      <w:rPr>
        <w:rFonts w:hint="default"/>
      </w:rPr>
    </w:lvl>
    <w:lvl w:ilvl="1" w:tplc="04080019" w:tentative="1">
      <w:start w:val="1"/>
      <w:numFmt w:val="lowerLetter"/>
      <w:lvlText w:val="%2."/>
      <w:lvlJc w:val="left"/>
      <w:pPr>
        <w:ind w:left="-3880" w:hanging="360"/>
      </w:pPr>
    </w:lvl>
    <w:lvl w:ilvl="2" w:tplc="0408001B" w:tentative="1">
      <w:start w:val="1"/>
      <w:numFmt w:val="lowerRoman"/>
      <w:lvlText w:val="%3."/>
      <w:lvlJc w:val="right"/>
      <w:pPr>
        <w:ind w:left="-3160" w:hanging="180"/>
      </w:pPr>
    </w:lvl>
    <w:lvl w:ilvl="3" w:tplc="0408000F" w:tentative="1">
      <w:start w:val="1"/>
      <w:numFmt w:val="decimal"/>
      <w:lvlText w:val="%4."/>
      <w:lvlJc w:val="left"/>
      <w:pPr>
        <w:ind w:left="-2440" w:hanging="360"/>
      </w:pPr>
    </w:lvl>
    <w:lvl w:ilvl="4" w:tplc="04080019" w:tentative="1">
      <w:start w:val="1"/>
      <w:numFmt w:val="lowerLetter"/>
      <w:lvlText w:val="%5."/>
      <w:lvlJc w:val="left"/>
      <w:pPr>
        <w:ind w:left="-1720" w:hanging="360"/>
      </w:pPr>
    </w:lvl>
    <w:lvl w:ilvl="5" w:tplc="0408001B" w:tentative="1">
      <w:start w:val="1"/>
      <w:numFmt w:val="lowerRoman"/>
      <w:lvlText w:val="%6."/>
      <w:lvlJc w:val="right"/>
      <w:pPr>
        <w:ind w:left="-1000" w:hanging="180"/>
      </w:pPr>
    </w:lvl>
    <w:lvl w:ilvl="6" w:tplc="0408000F" w:tentative="1">
      <w:start w:val="1"/>
      <w:numFmt w:val="decimal"/>
      <w:lvlText w:val="%7."/>
      <w:lvlJc w:val="left"/>
      <w:pPr>
        <w:ind w:left="-280" w:hanging="360"/>
      </w:pPr>
    </w:lvl>
    <w:lvl w:ilvl="7" w:tplc="04080019" w:tentative="1">
      <w:start w:val="1"/>
      <w:numFmt w:val="lowerLetter"/>
      <w:lvlText w:val="%8."/>
      <w:lvlJc w:val="left"/>
      <w:pPr>
        <w:ind w:left="440" w:hanging="360"/>
      </w:pPr>
    </w:lvl>
    <w:lvl w:ilvl="8" w:tplc="0408001B" w:tentative="1">
      <w:start w:val="1"/>
      <w:numFmt w:val="lowerRoman"/>
      <w:lvlText w:val="%9."/>
      <w:lvlJc w:val="right"/>
      <w:pPr>
        <w:ind w:left="116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18EB"/>
    <w:rsid w:val="000145EC"/>
    <w:rsid w:val="00016434"/>
    <w:rsid w:val="00020D2D"/>
    <w:rsid w:val="000224C1"/>
    <w:rsid w:val="000319B3"/>
    <w:rsid w:val="0003631E"/>
    <w:rsid w:val="00042CAA"/>
    <w:rsid w:val="0007633E"/>
    <w:rsid w:val="00080A75"/>
    <w:rsid w:val="0008214A"/>
    <w:rsid w:val="000864B5"/>
    <w:rsid w:val="00091240"/>
    <w:rsid w:val="000A5463"/>
    <w:rsid w:val="000C0865"/>
    <w:rsid w:val="000C099E"/>
    <w:rsid w:val="000C14DF"/>
    <w:rsid w:val="000C602B"/>
    <w:rsid w:val="000D12BA"/>
    <w:rsid w:val="000D34E2"/>
    <w:rsid w:val="000D3D70"/>
    <w:rsid w:val="000E2BB8"/>
    <w:rsid w:val="000E30A0"/>
    <w:rsid w:val="000E44E8"/>
    <w:rsid w:val="000F237D"/>
    <w:rsid w:val="000F4280"/>
    <w:rsid w:val="00104FD0"/>
    <w:rsid w:val="001213C4"/>
    <w:rsid w:val="0016039E"/>
    <w:rsid w:val="00161A35"/>
    <w:rsid w:val="00162CAE"/>
    <w:rsid w:val="0019450A"/>
    <w:rsid w:val="001A62AD"/>
    <w:rsid w:val="001A67BA"/>
    <w:rsid w:val="001B3428"/>
    <w:rsid w:val="001B7832"/>
    <w:rsid w:val="001E177F"/>
    <w:rsid w:val="001E439E"/>
    <w:rsid w:val="001F1161"/>
    <w:rsid w:val="002058AF"/>
    <w:rsid w:val="002251AF"/>
    <w:rsid w:val="00236A27"/>
    <w:rsid w:val="00255DD0"/>
    <w:rsid w:val="002570E4"/>
    <w:rsid w:val="0026156F"/>
    <w:rsid w:val="00264E1B"/>
    <w:rsid w:val="0026597B"/>
    <w:rsid w:val="0027672E"/>
    <w:rsid w:val="002B43D6"/>
    <w:rsid w:val="002C1F7A"/>
    <w:rsid w:val="002C4134"/>
    <w:rsid w:val="002D0AB7"/>
    <w:rsid w:val="002D1046"/>
    <w:rsid w:val="00301E00"/>
    <w:rsid w:val="003071D9"/>
    <w:rsid w:val="00322A0B"/>
    <w:rsid w:val="00326F43"/>
    <w:rsid w:val="0032706C"/>
    <w:rsid w:val="003336F9"/>
    <w:rsid w:val="003364CB"/>
    <w:rsid w:val="00337205"/>
    <w:rsid w:val="0034662F"/>
    <w:rsid w:val="00361404"/>
    <w:rsid w:val="003637F8"/>
    <w:rsid w:val="00371AFA"/>
    <w:rsid w:val="003956F9"/>
    <w:rsid w:val="003B245B"/>
    <w:rsid w:val="003B3E78"/>
    <w:rsid w:val="003B6AC5"/>
    <w:rsid w:val="003D4D14"/>
    <w:rsid w:val="003D73D0"/>
    <w:rsid w:val="003E38C4"/>
    <w:rsid w:val="003F789B"/>
    <w:rsid w:val="00406B60"/>
    <w:rsid w:val="004102B2"/>
    <w:rsid w:val="00412BB7"/>
    <w:rsid w:val="00413626"/>
    <w:rsid w:val="00415D99"/>
    <w:rsid w:val="00421FA4"/>
    <w:rsid w:val="00427C1E"/>
    <w:rsid w:val="004355A3"/>
    <w:rsid w:val="00444132"/>
    <w:rsid w:val="004443A9"/>
    <w:rsid w:val="00472CFE"/>
    <w:rsid w:val="00483ACE"/>
    <w:rsid w:val="00483AFE"/>
    <w:rsid w:val="00486A3F"/>
    <w:rsid w:val="004A2EF2"/>
    <w:rsid w:val="004A6201"/>
    <w:rsid w:val="004D0BE2"/>
    <w:rsid w:val="004D5A2F"/>
    <w:rsid w:val="00501973"/>
    <w:rsid w:val="005077D6"/>
    <w:rsid w:val="00510963"/>
    <w:rsid w:val="00517354"/>
    <w:rsid w:val="0052064A"/>
    <w:rsid w:val="00523EAA"/>
    <w:rsid w:val="0053227C"/>
    <w:rsid w:val="00540ED2"/>
    <w:rsid w:val="00545C71"/>
    <w:rsid w:val="00547D78"/>
    <w:rsid w:val="00554A64"/>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55B67"/>
    <w:rsid w:val="0065693F"/>
    <w:rsid w:val="0066741D"/>
    <w:rsid w:val="00674602"/>
    <w:rsid w:val="006A0406"/>
    <w:rsid w:val="006A785A"/>
    <w:rsid w:val="006B6CBE"/>
    <w:rsid w:val="006D0554"/>
    <w:rsid w:val="006E447A"/>
    <w:rsid w:val="006E692F"/>
    <w:rsid w:val="006E6B93"/>
    <w:rsid w:val="006F050F"/>
    <w:rsid w:val="006F0E6D"/>
    <w:rsid w:val="006F3206"/>
    <w:rsid w:val="006F54CF"/>
    <w:rsid w:val="006F68D0"/>
    <w:rsid w:val="0072145A"/>
    <w:rsid w:val="007275C8"/>
    <w:rsid w:val="00732695"/>
    <w:rsid w:val="0074796D"/>
    <w:rsid w:val="00752538"/>
    <w:rsid w:val="00754C30"/>
    <w:rsid w:val="007606A6"/>
    <w:rsid w:val="00763FCD"/>
    <w:rsid w:val="00767D09"/>
    <w:rsid w:val="0077016C"/>
    <w:rsid w:val="00784A1F"/>
    <w:rsid w:val="007A781F"/>
    <w:rsid w:val="007B45FF"/>
    <w:rsid w:val="007D010A"/>
    <w:rsid w:val="007E66D9"/>
    <w:rsid w:val="007F77CE"/>
    <w:rsid w:val="0080787B"/>
    <w:rsid w:val="008104A7"/>
    <w:rsid w:val="00811A9B"/>
    <w:rsid w:val="008132CA"/>
    <w:rsid w:val="0082394C"/>
    <w:rsid w:val="008321C9"/>
    <w:rsid w:val="0083359D"/>
    <w:rsid w:val="00842387"/>
    <w:rsid w:val="00857467"/>
    <w:rsid w:val="00876B17"/>
    <w:rsid w:val="00880266"/>
    <w:rsid w:val="00886205"/>
    <w:rsid w:val="00890E52"/>
    <w:rsid w:val="008960BB"/>
    <w:rsid w:val="008A26A3"/>
    <w:rsid w:val="008A421B"/>
    <w:rsid w:val="008B3278"/>
    <w:rsid w:val="008B3367"/>
    <w:rsid w:val="008B5B34"/>
    <w:rsid w:val="008D43B9"/>
    <w:rsid w:val="008E6483"/>
    <w:rsid w:val="008F4A49"/>
    <w:rsid w:val="0091277D"/>
    <w:rsid w:val="0093332D"/>
    <w:rsid w:val="00935243"/>
    <w:rsid w:val="00936BAC"/>
    <w:rsid w:val="009503E0"/>
    <w:rsid w:val="00953909"/>
    <w:rsid w:val="00972E62"/>
    <w:rsid w:val="00980425"/>
    <w:rsid w:val="00995C38"/>
    <w:rsid w:val="00997977"/>
    <w:rsid w:val="009A4192"/>
    <w:rsid w:val="009B3183"/>
    <w:rsid w:val="009C06F7"/>
    <w:rsid w:val="009C4D45"/>
    <w:rsid w:val="009C54BF"/>
    <w:rsid w:val="009C6A3A"/>
    <w:rsid w:val="009E6773"/>
    <w:rsid w:val="00A04D49"/>
    <w:rsid w:val="00A0512E"/>
    <w:rsid w:val="00A05FCF"/>
    <w:rsid w:val="00A24A4D"/>
    <w:rsid w:val="00A32253"/>
    <w:rsid w:val="00A35350"/>
    <w:rsid w:val="00A5663B"/>
    <w:rsid w:val="00A66F36"/>
    <w:rsid w:val="00A754B2"/>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13A8"/>
    <w:rsid w:val="00B4410D"/>
    <w:rsid w:val="00B4479D"/>
    <w:rsid w:val="00B50ABE"/>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A4A87"/>
    <w:rsid w:val="00CC22AC"/>
    <w:rsid w:val="00CC59F5"/>
    <w:rsid w:val="00CC62E9"/>
    <w:rsid w:val="00CD362F"/>
    <w:rsid w:val="00CD3CE2"/>
    <w:rsid w:val="00CD6D05"/>
    <w:rsid w:val="00CE0328"/>
    <w:rsid w:val="00CE366F"/>
    <w:rsid w:val="00CE5B35"/>
    <w:rsid w:val="00CE5FF4"/>
    <w:rsid w:val="00CF0E8A"/>
    <w:rsid w:val="00D00AC1"/>
    <w:rsid w:val="00D01C51"/>
    <w:rsid w:val="00D11B9D"/>
    <w:rsid w:val="00D14800"/>
    <w:rsid w:val="00D25975"/>
    <w:rsid w:val="00D40627"/>
    <w:rsid w:val="00D429F2"/>
    <w:rsid w:val="00D4303F"/>
    <w:rsid w:val="00D43376"/>
    <w:rsid w:val="00D4455A"/>
    <w:rsid w:val="00D64E6E"/>
    <w:rsid w:val="00D7519B"/>
    <w:rsid w:val="00D90DA4"/>
    <w:rsid w:val="00D92411"/>
    <w:rsid w:val="00DA1C96"/>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4F37"/>
    <w:rsid w:val="00E55813"/>
    <w:rsid w:val="00E62DF8"/>
    <w:rsid w:val="00E63208"/>
    <w:rsid w:val="00E70687"/>
    <w:rsid w:val="00E71701"/>
    <w:rsid w:val="00E72589"/>
    <w:rsid w:val="00E776F1"/>
    <w:rsid w:val="00E922F5"/>
    <w:rsid w:val="00EA272C"/>
    <w:rsid w:val="00EE0F94"/>
    <w:rsid w:val="00EE2439"/>
    <w:rsid w:val="00EE6171"/>
    <w:rsid w:val="00EE65BD"/>
    <w:rsid w:val="00EF42D1"/>
    <w:rsid w:val="00EF66B1"/>
    <w:rsid w:val="00F02B8E"/>
    <w:rsid w:val="00F071B9"/>
    <w:rsid w:val="00F21A91"/>
    <w:rsid w:val="00F21B29"/>
    <w:rsid w:val="00F239E9"/>
    <w:rsid w:val="00F42CC8"/>
    <w:rsid w:val="00F64D51"/>
    <w:rsid w:val="00F736BA"/>
    <w:rsid w:val="00F76532"/>
    <w:rsid w:val="00F80939"/>
    <w:rsid w:val="00F84821"/>
    <w:rsid w:val="00F97D08"/>
    <w:rsid w:val="00FA015E"/>
    <w:rsid w:val="00FA55E7"/>
    <w:rsid w:val="00FC61EC"/>
    <w:rsid w:val="00FC692B"/>
    <w:rsid w:val="00FE2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963"/>
    <w:rPr>
      <w:color w:val="0000FF" w:themeColor="hyperlink"/>
      <w:u w:val="single"/>
    </w:rPr>
  </w:style>
  <w:style w:type="paragraph" w:styleId="FootnoteText">
    <w:name w:val="footnote text"/>
    <w:basedOn w:val="Normal"/>
    <w:link w:val="FootnoteTextChar"/>
    <w:uiPriority w:val="99"/>
    <w:semiHidden/>
    <w:unhideWhenUsed/>
    <w:rsid w:val="00510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963"/>
    <w:rPr>
      <w:rFonts w:ascii="Cambria" w:hAnsi="Cambria"/>
      <w:color w:val="000000"/>
    </w:rPr>
  </w:style>
  <w:style w:type="character" w:styleId="FootnoteReference">
    <w:name w:val="footnote reference"/>
    <w:basedOn w:val="DefaultParagraphFont"/>
    <w:uiPriority w:val="99"/>
    <w:semiHidden/>
    <w:unhideWhenUsed/>
    <w:rsid w:val="00510963"/>
    <w:rPr>
      <w:vertAlign w:val="superscript"/>
    </w:rPr>
  </w:style>
  <w:style w:type="paragraph" w:customStyle="1" w:styleId="Default">
    <w:name w:val="Default"/>
    <w:rsid w:val="009C6A3A"/>
    <w:pPr>
      <w:autoSpaceDE w:val="0"/>
      <w:autoSpaceDN w:val="0"/>
      <w:adjustRightInd w:val="0"/>
    </w:pPr>
    <w:rPr>
      <w:rFonts w:ascii="Calibri" w:eastAsiaTheme="minorHAns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454114">
      <w:bodyDiv w:val="1"/>
      <w:marLeft w:val="0"/>
      <w:marRight w:val="0"/>
      <w:marTop w:val="0"/>
      <w:marBottom w:val="0"/>
      <w:divBdr>
        <w:top w:val="none" w:sz="0" w:space="0" w:color="auto"/>
        <w:left w:val="none" w:sz="0" w:space="0" w:color="auto"/>
        <w:bottom w:val="none" w:sz="0" w:space="0" w:color="auto"/>
        <w:right w:val="none" w:sz="0" w:space="0" w:color="auto"/>
      </w:divBdr>
    </w:div>
    <w:div w:id="622925836">
      <w:bodyDiv w:val="1"/>
      <w:marLeft w:val="0"/>
      <w:marRight w:val="0"/>
      <w:marTop w:val="0"/>
      <w:marBottom w:val="0"/>
      <w:divBdr>
        <w:top w:val="none" w:sz="0" w:space="0" w:color="auto"/>
        <w:left w:val="none" w:sz="0" w:space="0" w:color="auto"/>
        <w:bottom w:val="none" w:sz="0" w:space="0" w:color="auto"/>
        <w:right w:val="none" w:sz="0" w:space="0" w:color="auto"/>
      </w:divBdr>
    </w:div>
    <w:div w:id="817113071">
      <w:bodyDiv w:val="1"/>
      <w:marLeft w:val="0"/>
      <w:marRight w:val="0"/>
      <w:marTop w:val="0"/>
      <w:marBottom w:val="0"/>
      <w:divBdr>
        <w:top w:val="none" w:sz="0" w:space="0" w:color="auto"/>
        <w:left w:val="none" w:sz="0" w:space="0" w:color="auto"/>
        <w:bottom w:val="none" w:sz="0" w:space="0" w:color="auto"/>
        <w:right w:val="none" w:sz="0" w:space="0" w:color="auto"/>
      </w:divBdr>
    </w:div>
    <w:div w:id="16028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mea.gov.gr/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51FB1"/>
    <w:rsid w:val="002637A0"/>
    <w:rsid w:val="0032706C"/>
    <w:rsid w:val="00483AFE"/>
    <w:rsid w:val="00582AFC"/>
    <w:rsid w:val="007E3905"/>
    <w:rsid w:val="008F21FC"/>
    <w:rsid w:val="009272F0"/>
    <w:rsid w:val="00A17163"/>
    <w:rsid w:val="00A756AE"/>
    <w:rsid w:val="00F56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5B13C2-EAD1-462F-9691-5A94585D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5</Pages>
  <Words>1312</Words>
  <Characters>7091</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2025-05-21T12:53:00Z</dcterms:created>
  <dcterms:modified xsi:type="dcterms:W3CDTF">2025-05-21T12:59:00Z</dcterms:modified>
  <cp:contentStatus/>
  <dc:language>Ελληνικά</dc:language>
  <cp:version>am-20180624</cp:version>
</cp:coreProperties>
</file>