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74490415" w:rsidR="00A5663B" w:rsidRPr="00A5663B" w:rsidRDefault="001B039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6-04T00:00:00Z">
                    <w:dateFormat w:val="dd.MM.yyyy"/>
                    <w:lid w:val="el-GR"/>
                    <w:storeMappedDataAs w:val="dateTime"/>
                    <w:calendar w:val="gregorian"/>
                  </w:date>
                </w:sdtPr>
                <w:sdtEndPr/>
                <w:sdtContent>
                  <w:r w:rsidR="00442E9D">
                    <w:t>04.06.2025</w:t>
                  </w:r>
                </w:sdtContent>
              </w:sdt>
            </w:sdtContent>
          </w:sdt>
        </w:sdtContent>
      </w:sdt>
    </w:p>
    <w:p w14:paraId="41EA2CD5" w14:textId="7401FAB1" w:rsidR="00A5663B" w:rsidRPr="00A5663B" w:rsidRDefault="001B039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604DD">
            <w:t>635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1B0396"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0A7A00B7" w:rsidR="00177B45" w:rsidRPr="00614D55" w:rsidRDefault="001B0396"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Content>
              <w:r w:rsidR="00164D11">
                <w:rPr>
                  <w:rStyle w:val="TitleChar"/>
                  <w:b/>
                  <w:u w:val="none"/>
                </w:rPr>
                <w:t>Συνάντηση Ι. Βαρδακαστάνη</w:t>
              </w:r>
              <w:r w:rsidR="00164D11" w:rsidRPr="00164D11">
                <w:rPr>
                  <w:rStyle w:val="TitleChar"/>
                  <w:b/>
                  <w:u w:val="none"/>
                </w:rPr>
                <w:t xml:space="preserve"> </w:t>
              </w:r>
              <w:r w:rsidR="00164D11">
                <w:rPr>
                  <w:rStyle w:val="TitleChar"/>
                  <w:b/>
                  <w:u w:val="none"/>
                </w:rPr>
                <w:t>- αντιπροέδρου</w:t>
              </w:r>
              <w:r w:rsidR="00164D11" w:rsidRPr="00164D11">
                <w:rPr>
                  <w:rStyle w:val="TitleChar"/>
                  <w:b/>
                  <w:u w:val="none"/>
                </w:rPr>
                <w:t xml:space="preserve"> Κομισιόν </w:t>
              </w:r>
              <w:r w:rsidR="00164D11">
                <w:rPr>
                  <w:rStyle w:val="TitleChar"/>
                  <w:b/>
                  <w:u w:val="none"/>
                </w:rPr>
                <w:t>M</w:t>
              </w:r>
              <w:r w:rsidR="00164D11">
                <w:rPr>
                  <w:rStyle w:val="TitleChar"/>
                  <w:b/>
                  <w:u w:val="none"/>
                  <w:lang w:val="en-US"/>
                </w:rPr>
                <w:t>i</w:t>
              </w:r>
              <w:r w:rsidR="00164D11" w:rsidRPr="00164D11">
                <w:rPr>
                  <w:rStyle w:val="TitleChar"/>
                  <w:b/>
                  <w:u w:val="none"/>
                </w:rPr>
                <w:t xml:space="preserve">nzatu </w:t>
              </w:r>
              <w:r w:rsidR="00164D11">
                <w:rPr>
                  <w:rStyle w:val="TitleChar"/>
                  <w:b/>
                  <w:u w:val="none"/>
                </w:rPr>
                <w:t>για την χρηματοδότηση της ΕΕ για την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rPr>
          <w:b w:val="0"/>
          <w:u w:val="none"/>
        </w:rPr>
      </w:sdtEndPr>
      <w:sdtContent>
        <w:sdt>
          <w:sdtPr>
            <w:alias w:val="Σώμα του ΔΤ"/>
            <w:tag w:val="Σώμα του ΔΤ"/>
            <w:id w:val="-1096393226"/>
            <w:lock w:val="sdtLocked"/>
            <w:placeholder>
              <w:docPart w:val="EED56959E1BE415DBC8DB03406A627B8"/>
            </w:placeholder>
          </w:sdtPr>
          <w:sdtEndPr>
            <w:rPr>
              <w:b w:val="0"/>
              <w:u w:val="none"/>
            </w:rPr>
          </w:sdtEndPr>
          <w:sdtContent>
            <w:p w14:paraId="4F08CC6E" w14:textId="2AA4A158" w:rsidR="00164D11" w:rsidRDefault="00164D11" w:rsidP="00F9271E">
              <w:pPr>
                <w:pStyle w:val="Subtitle"/>
              </w:pPr>
              <w:r>
                <w:t xml:space="preserve">Το </w:t>
              </w:r>
              <w:r>
                <w:t xml:space="preserve">ευρωπαϊκό </w:t>
              </w:r>
              <w:r>
                <w:t>αναπηρικό κίνημα ζητά από την αντιπρόεδρο Mînzatu τη συνέχιση της</w:t>
              </w:r>
              <w:r w:rsidR="00A61119">
                <w:t xml:space="preserve"> χρηματοδότησης της ΕΕ για την Α</w:t>
              </w:r>
              <w:r>
                <w:t>ναπηρία</w:t>
              </w:r>
            </w:p>
            <w:p w14:paraId="0750C212" w14:textId="2B182A5C" w:rsidR="00F9271E" w:rsidRDefault="00164D11" w:rsidP="00164D11">
              <w:r>
                <w:t xml:space="preserve">Αντιπροσωπεία με επικεφαλής τον </w:t>
              </w:r>
              <w:r>
                <w:t xml:space="preserve">πρόεδρο της ΕΣΑμεΑ και του </w:t>
              </w:r>
              <w:r>
                <w:rPr>
                  <w:lang w:val="en-US"/>
                </w:rPr>
                <w:t>EDF</w:t>
              </w:r>
              <w:r>
                <w:t xml:space="preserve"> </w:t>
              </w:r>
              <w:r w:rsidR="00F9271E">
                <w:t>Ιωάννη Βαρδακαστάνη είχε επίσημη συνάντηση</w:t>
              </w:r>
              <w:r>
                <w:t xml:space="preserve"> με την Αντιπρόεδρο της Ευρωπαϊκής Επιτροπής Roxana Mînzatu, για να υποστηρίξει σαφείς δράσεις για </w:t>
              </w:r>
              <w:r>
                <w:t>την προώθηση των δικαιωμάτων των ατόμων με αναπηρία, χρόνιες ή/και σπάνιες παθήσεις, την προηγούμενη εβδομάδα</w:t>
              </w:r>
              <w:r>
                <w:t xml:space="preserve">. </w:t>
              </w:r>
            </w:p>
            <w:p w14:paraId="1F977BD8" w14:textId="4031DA9F" w:rsidR="00164D11" w:rsidRDefault="00164D11" w:rsidP="00164D11">
              <w:r>
                <w:t>Η αντιπρόεδρος Mînzatu είναι υπεύθυνη για τα κοινωνικά δικαιώματα και τις δεξιότητες, την ποιότητα της εργασίας και την ετοιμότητα και, κυρίως, επιβλέπει το έργο του Επιτρόπου για την ισότητα.</w:t>
              </w:r>
            </w:p>
            <w:p w14:paraId="6F35FE0F" w14:textId="6CE56914" w:rsidR="00164D11" w:rsidRDefault="00164D11" w:rsidP="00164D11">
              <w:r w:rsidRPr="00F9271E">
                <w:rPr>
                  <w:i/>
                </w:rPr>
                <w:t>«Μεταφέραμε στην αντιπρόεδρο Mînzatu τη σοβαρή ανάγκη στήριξης των ατόμων με αναπηρία και των οργανώσεών μας μέσω ειδικής χρηματοδότησης. Η «Εγγύηση για την απασχόληση και τις δεξιότητες των ατόμων με αναπηρία» είναι ένα σαφές παράδειγμα για το πώς ο προϋπολογισμός της ΕΕ μπορεί να χρησιμοποιηθεί για καλό σκοπό»</w:t>
              </w:r>
              <w:r>
                <w:t xml:space="preserve">, δήλωσε ο κ. </w:t>
              </w:r>
              <w:r w:rsidRPr="00F9271E">
                <w:rPr>
                  <w:b/>
                </w:rPr>
                <w:t>Βαρδακαστάνης</w:t>
              </w:r>
              <w:r>
                <w:t xml:space="preserve"> με το πέρας της συνάντησης.</w:t>
              </w:r>
            </w:p>
            <w:p w14:paraId="13A9A3E6" w14:textId="409CB75D" w:rsidR="00164D11" w:rsidRPr="00164D11" w:rsidRDefault="00164D11" w:rsidP="00164D11">
              <w:r w:rsidRPr="00164D11">
                <w:t>Κατά τη δι</w:t>
              </w:r>
              <w:r w:rsidR="00F9271E">
                <w:t>άρκεια της συνάντησης συζητήθηκε ο</w:t>
              </w:r>
              <w:r w:rsidRPr="00164D11">
                <w:t xml:space="preserve"> προϋπολογισμό</w:t>
              </w:r>
              <w:r w:rsidR="00F9271E">
                <w:t>ς</w:t>
              </w:r>
              <w:r w:rsidRPr="00164D11">
                <w:t xml:space="preserve"> της Ε</w:t>
              </w:r>
              <w:r w:rsidR="00F9271E">
                <w:t>Ε για την περίοδο 2028-2034 (</w:t>
              </w:r>
              <w:r w:rsidRPr="00164D11">
                <w:t xml:space="preserve">πολυετές δημοσιονομικό πλαίσιο). Υπό το πρίσμα πολλών διαφαινόμενων κινδύνων για τη συνέχιση της υποστήριξης των δικαιωμάτων των ατόμων με αναπηρία μέσω της χρηματοδότησης της ΕΕ, </w:t>
              </w:r>
              <w:r w:rsidR="00F9271E">
                <w:t>η αντιπροσωπεία τόνισε</w:t>
              </w:r>
              <w:r w:rsidRPr="00164D11">
                <w:t xml:space="preserve"> ότι ο επόμενος προϋπο</w:t>
              </w:r>
              <w:r w:rsidR="00F9271E">
                <w:t xml:space="preserve">λογισμός πρέπει: </w:t>
              </w:r>
            </w:p>
            <w:p w14:paraId="6E0168D9" w14:textId="57335003" w:rsidR="00164D11" w:rsidRPr="00164D11" w:rsidRDefault="00164D11" w:rsidP="00F9271E">
              <w:pPr>
                <w:pStyle w:val="ListParagraph"/>
                <w:numPr>
                  <w:ilvl w:val="0"/>
                  <w:numId w:val="31"/>
                </w:numPr>
              </w:pPr>
              <w:r w:rsidRPr="00164D11">
                <w:t>Να χρηματοδοτήσει κατάλληλα τις οργανώσεις των ατόμων με αναπηρία που ασχολούνται με τα ανθρώπινα δικαιώματα,</w:t>
              </w:r>
            </w:p>
            <w:p w14:paraId="472032CF" w14:textId="454B9569" w:rsidR="00164D11" w:rsidRPr="00164D11" w:rsidRDefault="00164D11" w:rsidP="00F9271E">
              <w:pPr>
                <w:pStyle w:val="ListParagraph"/>
                <w:numPr>
                  <w:ilvl w:val="0"/>
                  <w:numId w:val="31"/>
                </w:numPr>
              </w:pPr>
              <w:r w:rsidRPr="00164D11">
                <w:t xml:space="preserve">Να διασφαλίσει μια ισχυρή πολιτική </w:t>
              </w:r>
              <w:r w:rsidR="00F9271E">
                <w:t xml:space="preserve">συνοχής που θα χρηματοδοτεί τη συμπερίληψη </w:t>
              </w:r>
              <w:r w:rsidRPr="00164D11">
                <w:t>των ατόμων με αναπηρία και τις προσβάσιμες υποδομές.</w:t>
              </w:r>
            </w:p>
            <w:p w14:paraId="5C066F5C" w14:textId="642E49CD" w:rsidR="00164D11" w:rsidRDefault="00164D11" w:rsidP="00F9271E">
              <w:pPr>
                <w:pStyle w:val="ListParagraph"/>
                <w:numPr>
                  <w:ilvl w:val="0"/>
                  <w:numId w:val="31"/>
                </w:numPr>
              </w:pPr>
              <w:r w:rsidRPr="00164D11">
                <w:t xml:space="preserve">Να διατηρήσει τις λεγόμενες «ευνοϊκές προϋποθέσεις» που κατευθύνουν τις διαχειριστικές αρχές να μην ξοδεύουν χρήματα για υποδομές ή έργα που είναι μη προσβάσιμα ή ενάντια στα ανθρώπινα δικαιώματά μας. Οι όροι αυτοί πρέπει να ενισχυθούν για να διασφαλιστεί ότι τα κονδύλια της ΕΕ δεν χρηματοδοτούν </w:t>
              </w:r>
              <w:r w:rsidR="00F9271E">
                <w:t>δομές</w:t>
              </w:r>
              <w:r w:rsidRPr="00164D11">
                <w:t xml:space="preserve"> </w:t>
              </w:r>
              <w:r w:rsidR="00F9271E">
                <w:t>εκτός κοινότητας, ιδρυματικού τύπου.</w:t>
              </w:r>
            </w:p>
            <w:p w14:paraId="14446A26" w14:textId="19EDB2C0" w:rsidR="00164D11" w:rsidRDefault="00F9271E" w:rsidP="00F9271E">
              <w:pPr>
                <w:pStyle w:val="ListParagraph"/>
                <w:numPr>
                  <w:ilvl w:val="0"/>
                  <w:numId w:val="31"/>
                </w:numPr>
              </w:pPr>
              <w:r>
                <w:t>Να αυξηθεί η χρηματοδότηση</w:t>
              </w:r>
              <w:r w:rsidR="00164D11">
                <w:t xml:space="preserve"> για </w:t>
              </w:r>
              <w:r>
                <w:t xml:space="preserve">την προσβάσιμη και </w:t>
              </w:r>
              <w:r>
                <w:t xml:space="preserve">οικονομικά προσιτή </w:t>
              </w:r>
              <w:r w:rsidR="00164D11">
                <w:t xml:space="preserve">στέγαση για τα άτομα με αναπηρία και </w:t>
              </w:r>
              <w:r>
                <w:t>να διασφαλιστεί</w:t>
              </w:r>
              <w:r w:rsidR="00164D11">
                <w:t xml:space="preserve"> ότι τα κονδύλια της ΕΕ σέβονται την απαγόρευση των διακρίσεων και την προσβασιμότητα για τα άτομα με αναπηρία.</w:t>
              </w:r>
            </w:p>
            <w:p w14:paraId="40DA99BF" w14:textId="7F745F45" w:rsidR="00164D11" w:rsidRDefault="00F9271E" w:rsidP="00F9271E">
              <w:r>
                <w:t>Σχετικά με</w:t>
              </w:r>
              <w:r w:rsidR="00164D11">
                <w:t xml:space="preserve"> τις συγκεκριμένες δράσεις στις οποίες </w:t>
              </w:r>
              <w:r>
                <w:t xml:space="preserve">θέλουμε να κατευθυνθεί </w:t>
              </w:r>
              <w:r w:rsidR="00164D11">
                <w:t xml:space="preserve">η χρηματοδότηση της ΕΕ στο μέλλον, </w:t>
              </w:r>
              <w:r>
                <w:t xml:space="preserve">συζητήθηκε το αίτημα του </w:t>
              </w:r>
              <w:r w:rsidRPr="00F9271E">
                <w:rPr>
                  <w:lang w:val="en-US"/>
                </w:rPr>
                <w:t>EDF</w:t>
              </w:r>
              <w:r w:rsidR="00164D11">
                <w:t>, π</w:t>
              </w:r>
              <w:r>
                <w:t>ου έχει ήδη μεταφερθεί στην</w:t>
              </w:r>
              <w:r w:rsidR="00164D11">
                <w:t xml:space="preserve"> Επίτροπο Lahbib, για την επικαιροποίηση της Ευρωπαϊκής Στρατηγικής για τα δικαιώματα των ατόμων με αναπηρία 2021-2030 με νέες, φιλόδοξες δράσεις.</w:t>
              </w:r>
            </w:p>
            <w:p w14:paraId="7345F1DE" w14:textId="1B80FBE9" w:rsidR="00164D11" w:rsidRDefault="00164D11" w:rsidP="00F9271E">
              <w:r>
                <w:lastRenderedPageBreak/>
                <w:t>Συζητή</w:t>
              </w:r>
              <w:r w:rsidR="00F9271E">
                <w:t>θηκε ειδικότερα για το αίτημα για μια νέα «Ε</w:t>
              </w:r>
              <w:r>
                <w:t>γγύηση για την απασχόληση και τις δεξιότητες των ατόμων με αναπηρία</w:t>
              </w:r>
              <w:r w:rsidR="00F9271E">
                <w:t>»</w:t>
              </w:r>
              <w:r>
                <w:t xml:space="preserve"> ως σημαντική συμβολή στο στόχο της Αντιπροέδρου για τη δημιουργία μιας «Ένωσης Δεξιοτήτων». Η εγγύηση αυτή θα στηρίξει την ανάπτυξη των δεξιοτήτων και την ένταξη των </w:t>
              </w:r>
              <w:r w:rsidR="00F9271E">
                <w:t xml:space="preserve">ατόμων με αναπηρία στην </w:t>
              </w:r>
              <w:r>
                <w:t>αγορά εργασίας με τα απαραίτητα εργαλεία για την επίτευξη της επαγγελματικής επιτυχίας και ικανοποίησης.</w:t>
              </w:r>
            </w:p>
            <w:p w14:paraId="5D5CD7D8" w14:textId="77777777" w:rsidR="00164D11" w:rsidRDefault="00164D11" w:rsidP="00F9271E">
              <w:r>
                <w:t>Οι αντιπροσωπείες συμφώνησαν να εργαστούν για μια πιο δίκαιη και ισότιμη Ευρώπη για τα άτομα με αναπηρία.</w:t>
              </w:r>
            </w:p>
            <w:p w14:paraId="4E652803" w14:textId="77777777" w:rsidR="00164D11" w:rsidRDefault="00164D11" w:rsidP="00F9271E">
              <w:r>
                <w:t xml:space="preserve">Η αντιπρόεδρος </w:t>
              </w:r>
              <w:r w:rsidRPr="00F9271E">
                <w:rPr>
                  <w:b/>
                </w:rPr>
                <w:t>Roxana Mînzatu</w:t>
              </w:r>
              <w:r>
                <w:t xml:space="preserve"> δήλωσε:</w:t>
              </w:r>
            </w:p>
            <w:p w14:paraId="020B0E1C" w14:textId="0AEB413F" w:rsidR="00CA440F" w:rsidRPr="00F9271E" w:rsidRDefault="00F9271E" w:rsidP="00F9271E">
              <w:pPr>
                <w:rPr>
                  <w:i/>
                </w:rPr>
              </w:pPr>
              <w:r w:rsidRPr="00F9271E">
                <w:rPr>
                  <w:i/>
                </w:rPr>
                <w:t>«Η ευρωπαϊκή “Ε</w:t>
              </w:r>
              <w:r w:rsidR="00164D11" w:rsidRPr="00F9271E">
                <w:rPr>
                  <w:i/>
                </w:rPr>
                <w:t>γγύηση για την απασχόληση και τις δεξιότητες των ατόμων με αναπηρία</w:t>
              </w:r>
              <w:r w:rsidRPr="00F9271E">
                <w:rPr>
                  <w:i/>
                </w:rPr>
                <w:t>”</w:t>
              </w:r>
              <w:r w:rsidR="00164D11" w:rsidRPr="00F9271E">
                <w:rPr>
                  <w:i/>
                </w:rPr>
                <w:t xml:space="preserve"> είναι μία από τις βασικές προτάσεις του Ευ</w:t>
              </w:r>
              <w:r w:rsidRPr="00F9271E">
                <w:rPr>
                  <w:i/>
                </w:rPr>
                <w:t>ρωπαϊκού Φόρουμ Ατόμων με Αναπηρία</w:t>
              </w:r>
              <w:r w:rsidR="00164D11" w:rsidRPr="00F9271E">
                <w:rPr>
                  <w:i/>
                </w:rPr>
                <w:t xml:space="preserve">, μιας οργάνωσης που εκπροσωπεί τα συμφέροντα περισσότερων από 100 εκατομμυρίων ανθρώπων και περιλαμβάνει περισσότερες από 100 οργανώσεις από τα </w:t>
              </w:r>
              <w:r w:rsidR="00164D11" w:rsidRPr="00F9271E">
                <w:rPr>
                  <w:b/>
                  <w:i/>
                </w:rPr>
                <w:t>κράτη μέλη. Είχα μια πολύ παραγωγική συζήτηση στην Ευρωπαϊκή Επιτροπή με τον Ιωάννη</w:t>
              </w:r>
              <w:r w:rsidR="00164D11" w:rsidRPr="00F9271E">
                <w:rPr>
                  <w:i/>
                </w:rPr>
                <w:t xml:space="preserve"> Βαρδακαστάνη, σχετικά με τη σημασία του Ευρωπαϊκού Κοινωνικού Ταμείου+ και τη συμπερίληψή του στους μελλοντικούς προϋπολογισμούς για την εφαρμογή μέτρων που βοηθούν τα άτομα με αναπηρία να απολαμβάνουν τα δικαιώματά τους, την αυτονομία τους και τις ευκαιρίες τους να εργαστούν σε μια αγορά εργασίας που χρειάζεται το ταλέντο και τη συνεισφορά του καθενός</w:t>
              </w:r>
              <w:r w:rsidRPr="00F9271E">
                <w:rPr>
                  <w:i/>
                </w:rPr>
                <w:t>»</w:t>
              </w:r>
              <w:r w:rsidR="00164D11" w:rsidRPr="00F9271E">
                <w:rPr>
                  <w:i/>
                </w:rP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7B1C2" w14:textId="77777777" w:rsidR="001B0396" w:rsidRDefault="001B0396" w:rsidP="00A5663B">
      <w:pPr>
        <w:spacing w:after="0" w:line="240" w:lineRule="auto"/>
      </w:pPr>
      <w:r>
        <w:separator/>
      </w:r>
    </w:p>
    <w:p w14:paraId="67DB20E3" w14:textId="77777777" w:rsidR="001B0396" w:rsidRDefault="001B0396"/>
  </w:endnote>
  <w:endnote w:type="continuationSeparator" w:id="0">
    <w:p w14:paraId="2509821E" w14:textId="77777777" w:rsidR="001B0396" w:rsidRDefault="001B0396" w:rsidP="00A5663B">
      <w:pPr>
        <w:spacing w:after="0" w:line="240" w:lineRule="auto"/>
      </w:pPr>
      <w:r>
        <w:continuationSeparator/>
      </w:r>
    </w:p>
    <w:p w14:paraId="78D18014" w14:textId="77777777" w:rsidR="001B0396" w:rsidRDefault="001B0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0938DC">
              <w:rPr>
                <w:noProof/>
              </w:rPr>
              <w:t>2</w:t>
            </w:r>
            <w:r>
              <w:fldChar w:fldCharType="end"/>
            </w:r>
          </w:p>
          <w:p w14:paraId="1E01C7B2" w14:textId="77777777" w:rsidR="0076008A" w:rsidRDefault="001B0396"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C362D" w14:textId="77777777" w:rsidR="001B0396" w:rsidRDefault="001B0396" w:rsidP="00A5663B">
      <w:pPr>
        <w:spacing w:after="0" w:line="240" w:lineRule="auto"/>
      </w:pPr>
      <w:bookmarkStart w:id="0" w:name="_Hlk484772647"/>
      <w:bookmarkEnd w:id="0"/>
      <w:r>
        <w:separator/>
      </w:r>
    </w:p>
    <w:p w14:paraId="07A71DEA" w14:textId="77777777" w:rsidR="001B0396" w:rsidRDefault="001B0396"/>
  </w:footnote>
  <w:footnote w:type="continuationSeparator" w:id="0">
    <w:p w14:paraId="17D183FD" w14:textId="77777777" w:rsidR="001B0396" w:rsidRDefault="001B0396" w:rsidP="00A5663B">
      <w:pPr>
        <w:spacing w:after="0" w:line="240" w:lineRule="auto"/>
      </w:pPr>
      <w:r>
        <w:continuationSeparator/>
      </w:r>
    </w:p>
    <w:p w14:paraId="5BC148D7" w14:textId="77777777" w:rsidR="001B0396" w:rsidRDefault="001B03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467A07B8"/>
    <w:multiLevelType w:val="hybridMultilevel"/>
    <w:tmpl w:val="A094F9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1"/>
  </w:num>
  <w:num w:numId="11">
    <w:abstractNumId w:val="20"/>
  </w:num>
  <w:num w:numId="12">
    <w:abstractNumId w:val="10"/>
  </w:num>
  <w:num w:numId="13">
    <w:abstractNumId w:val="5"/>
  </w:num>
  <w:num w:numId="14">
    <w:abstractNumId w:val="1"/>
  </w:num>
  <w:num w:numId="15">
    <w:abstractNumId w:val="6"/>
  </w:num>
  <w:num w:numId="16">
    <w:abstractNumId w:val="15"/>
  </w:num>
  <w:num w:numId="17">
    <w:abstractNumId w:val="8"/>
  </w:num>
  <w:num w:numId="18">
    <w:abstractNumId w:val="4"/>
  </w:num>
  <w:num w:numId="19">
    <w:abstractNumId w:val="11"/>
  </w:num>
  <w:num w:numId="20">
    <w:abstractNumId w:val="19"/>
  </w:num>
  <w:num w:numId="21">
    <w:abstractNumId w:val="12"/>
  </w:num>
  <w:num w:numId="22">
    <w:abstractNumId w:val="16"/>
  </w:num>
  <w:num w:numId="23">
    <w:abstractNumId w:val="7"/>
  </w:num>
  <w:num w:numId="24">
    <w:abstractNumId w:val="13"/>
  </w:num>
  <w:num w:numId="25">
    <w:abstractNumId w:val="17"/>
  </w:num>
  <w:num w:numId="26">
    <w:abstractNumId w:val="3"/>
  </w:num>
  <w:num w:numId="27">
    <w:abstractNumId w:val="18"/>
  </w:num>
  <w:num w:numId="28">
    <w:abstractNumId w:val="0"/>
  </w:num>
  <w:num w:numId="29">
    <w:abstractNumId w:val="2"/>
  </w:num>
  <w:num w:numId="30">
    <w:abstractNumId w:val="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5190"/>
    <w:rsid w:val="0008214A"/>
    <w:rsid w:val="000864B5"/>
    <w:rsid w:val="00087DF8"/>
    <w:rsid w:val="00091240"/>
    <w:rsid w:val="000938DC"/>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1E17"/>
    <w:rsid w:val="00126901"/>
    <w:rsid w:val="001321CA"/>
    <w:rsid w:val="00135B10"/>
    <w:rsid w:val="00136BB7"/>
    <w:rsid w:val="0016039E"/>
    <w:rsid w:val="001623D2"/>
    <w:rsid w:val="00162CAE"/>
    <w:rsid w:val="00164D11"/>
    <w:rsid w:val="001655E7"/>
    <w:rsid w:val="001703AC"/>
    <w:rsid w:val="00177B45"/>
    <w:rsid w:val="00181C15"/>
    <w:rsid w:val="00193549"/>
    <w:rsid w:val="001A5AF0"/>
    <w:rsid w:val="001A62AD"/>
    <w:rsid w:val="001A67BA"/>
    <w:rsid w:val="001B0396"/>
    <w:rsid w:val="001B2DC1"/>
    <w:rsid w:val="001B3428"/>
    <w:rsid w:val="001B5812"/>
    <w:rsid w:val="001B7832"/>
    <w:rsid w:val="001C160F"/>
    <w:rsid w:val="001C51CE"/>
    <w:rsid w:val="001D2C15"/>
    <w:rsid w:val="001D5C6F"/>
    <w:rsid w:val="001E439E"/>
    <w:rsid w:val="001F1161"/>
    <w:rsid w:val="002030F3"/>
    <w:rsid w:val="002058AF"/>
    <w:rsid w:val="0020610D"/>
    <w:rsid w:val="00216072"/>
    <w:rsid w:val="00224D9C"/>
    <w:rsid w:val="002251AF"/>
    <w:rsid w:val="00235114"/>
    <w:rsid w:val="00236A27"/>
    <w:rsid w:val="0024462C"/>
    <w:rsid w:val="00255DD0"/>
    <w:rsid w:val="002570E4"/>
    <w:rsid w:val="002604DD"/>
    <w:rsid w:val="00264E1B"/>
    <w:rsid w:val="0026597B"/>
    <w:rsid w:val="0027672E"/>
    <w:rsid w:val="00285B17"/>
    <w:rsid w:val="002A350B"/>
    <w:rsid w:val="002B31A7"/>
    <w:rsid w:val="002B43D6"/>
    <w:rsid w:val="002B6F18"/>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56F9"/>
    <w:rsid w:val="003B245B"/>
    <w:rsid w:val="003B3E78"/>
    <w:rsid w:val="003B4A29"/>
    <w:rsid w:val="003B6AC5"/>
    <w:rsid w:val="003C3293"/>
    <w:rsid w:val="003D4D14"/>
    <w:rsid w:val="003D73D0"/>
    <w:rsid w:val="003E38C4"/>
    <w:rsid w:val="003F789B"/>
    <w:rsid w:val="00406BA3"/>
    <w:rsid w:val="00406D4E"/>
    <w:rsid w:val="00406E7A"/>
    <w:rsid w:val="00411568"/>
    <w:rsid w:val="00412BB7"/>
    <w:rsid w:val="00413626"/>
    <w:rsid w:val="00415D99"/>
    <w:rsid w:val="00417795"/>
    <w:rsid w:val="0041797A"/>
    <w:rsid w:val="00421FA4"/>
    <w:rsid w:val="00423508"/>
    <w:rsid w:val="004355A3"/>
    <w:rsid w:val="00442E9D"/>
    <w:rsid w:val="004443A9"/>
    <w:rsid w:val="004446CA"/>
    <w:rsid w:val="0046002B"/>
    <w:rsid w:val="00472CFE"/>
    <w:rsid w:val="00483ACE"/>
    <w:rsid w:val="00483EE0"/>
    <w:rsid w:val="00486A3F"/>
    <w:rsid w:val="00497296"/>
    <w:rsid w:val="004A1785"/>
    <w:rsid w:val="004A2EF2"/>
    <w:rsid w:val="004A6201"/>
    <w:rsid w:val="004A642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019A"/>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6C7C"/>
    <w:rsid w:val="0068732D"/>
    <w:rsid w:val="00687C76"/>
    <w:rsid w:val="00690A15"/>
    <w:rsid w:val="006A52F5"/>
    <w:rsid w:val="006A785A"/>
    <w:rsid w:val="006B0A3E"/>
    <w:rsid w:val="006B74ED"/>
    <w:rsid w:val="006D0554"/>
    <w:rsid w:val="006E2AC9"/>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93252"/>
    <w:rsid w:val="007A2059"/>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1FF3"/>
    <w:rsid w:val="00A133FB"/>
    <w:rsid w:val="00A22E67"/>
    <w:rsid w:val="00A24A4D"/>
    <w:rsid w:val="00A274BF"/>
    <w:rsid w:val="00A32253"/>
    <w:rsid w:val="00A33D4C"/>
    <w:rsid w:val="00A35350"/>
    <w:rsid w:val="00A50290"/>
    <w:rsid w:val="00A5663B"/>
    <w:rsid w:val="00A57999"/>
    <w:rsid w:val="00A61119"/>
    <w:rsid w:val="00A62EA2"/>
    <w:rsid w:val="00A66F36"/>
    <w:rsid w:val="00A72997"/>
    <w:rsid w:val="00A8235C"/>
    <w:rsid w:val="00A8604A"/>
    <w:rsid w:val="00A862B1"/>
    <w:rsid w:val="00A90B3F"/>
    <w:rsid w:val="00A9568B"/>
    <w:rsid w:val="00A95FBA"/>
    <w:rsid w:val="00AA5E3A"/>
    <w:rsid w:val="00AA7FE9"/>
    <w:rsid w:val="00AB2576"/>
    <w:rsid w:val="00AC0D27"/>
    <w:rsid w:val="00AC766E"/>
    <w:rsid w:val="00AD13AB"/>
    <w:rsid w:val="00AD3967"/>
    <w:rsid w:val="00AE40C5"/>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49A7"/>
    <w:rsid w:val="00B465F0"/>
    <w:rsid w:val="00B52E3E"/>
    <w:rsid w:val="00B600C1"/>
    <w:rsid w:val="00B60ABC"/>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369CF"/>
    <w:rsid w:val="00C4571F"/>
    <w:rsid w:val="00C46534"/>
    <w:rsid w:val="00C54603"/>
    <w:rsid w:val="00C54B4B"/>
    <w:rsid w:val="00C55583"/>
    <w:rsid w:val="00C6720A"/>
    <w:rsid w:val="00C70B1E"/>
    <w:rsid w:val="00C70FCE"/>
    <w:rsid w:val="00C75931"/>
    <w:rsid w:val="00C77A8C"/>
    <w:rsid w:val="00C77D34"/>
    <w:rsid w:val="00C80445"/>
    <w:rsid w:val="00C83059"/>
    <w:rsid w:val="00C83F4F"/>
    <w:rsid w:val="00C8464C"/>
    <w:rsid w:val="00C864D7"/>
    <w:rsid w:val="00C8742E"/>
    <w:rsid w:val="00C90057"/>
    <w:rsid w:val="00C9665B"/>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3BC"/>
    <w:rsid w:val="00D00AC1"/>
    <w:rsid w:val="00D00BBF"/>
    <w:rsid w:val="00D01C51"/>
    <w:rsid w:val="00D11B9D"/>
    <w:rsid w:val="00D1260B"/>
    <w:rsid w:val="00D14800"/>
    <w:rsid w:val="00D16345"/>
    <w:rsid w:val="00D35A4C"/>
    <w:rsid w:val="00D37E77"/>
    <w:rsid w:val="00D4303F"/>
    <w:rsid w:val="00D43376"/>
    <w:rsid w:val="00D43BF3"/>
    <w:rsid w:val="00D43FB8"/>
    <w:rsid w:val="00D4455A"/>
    <w:rsid w:val="00D60157"/>
    <w:rsid w:val="00D648BE"/>
    <w:rsid w:val="00D7519B"/>
    <w:rsid w:val="00D94751"/>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7BB2"/>
    <w:rsid w:val="00EA31DD"/>
    <w:rsid w:val="00EC256D"/>
    <w:rsid w:val="00EC61A5"/>
    <w:rsid w:val="00ED1F39"/>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56372"/>
    <w:rsid w:val="00F6000F"/>
    <w:rsid w:val="00F64D51"/>
    <w:rsid w:val="00F736BA"/>
    <w:rsid w:val="00F755E4"/>
    <w:rsid w:val="00F80939"/>
    <w:rsid w:val="00F84821"/>
    <w:rsid w:val="00F9271E"/>
    <w:rsid w:val="00F95A39"/>
    <w:rsid w:val="00F976F5"/>
    <w:rsid w:val="00F97D08"/>
    <w:rsid w:val="00FA015E"/>
    <w:rsid w:val="00FA1B8F"/>
    <w:rsid w:val="00FA1C99"/>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EndnoteText">
    <w:name w:val="endnote text"/>
    <w:basedOn w:val="Normal"/>
    <w:link w:val="EndnoteTextChar"/>
    <w:uiPriority w:val="99"/>
    <w:semiHidden/>
    <w:unhideWhenUsed/>
    <w:rsid w:val="00C96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65B"/>
    <w:rPr>
      <w:rFonts w:ascii="Arial Narrow" w:hAnsi="Arial Narrow"/>
      <w:color w:val="000000"/>
    </w:rPr>
  </w:style>
  <w:style w:type="character" w:styleId="EndnoteReference">
    <w:name w:val="endnote reference"/>
    <w:basedOn w:val="DefaultParagraphFont"/>
    <w:uiPriority w:val="99"/>
    <w:semiHidden/>
    <w:unhideWhenUsed/>
    <w:rsid w:val="00C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112109"/>
    <w:rsid w:val="00183DE6"/>
    <w:rsid w:val="001B10E8"/>
    <w:rsid w:val="0020150E"/>
    <w:rsid w:val="0022005F"/>
    <w:rsid w:val="00290AC3"/>
    <w:rsid w:val="00293B11"/>
    <w:rsid w:val="00297E5F"/>
    <w:rsid w:val="002A1FF1"/>
    <w:rsid w:val="002A3CAA"/>
    <w:rsid w:val="002A7333"/>
    <w:rsid w:val="002B512C"/>
    <w:rsid w:val="002B553B"/>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6E2631"/>
    <w:rsid w:val="00721A44"/>
    <w:rsid w:val="00784219"/>
    <w:rsid w:val="0078623D"/>
    <w:rsid w:val="007B2A29"/>
    <w:rsid w:val="007E68A8"/>
    <w:rsid w:val="008066E1"/>
    <w:rsid w:val="008309F4"/>
    <w:rsid w:val="0084662F"/>
    <w:rsid w:val="00870A7B"/>
    <w:rsid w:val="008841E4"/>
    <w:rsid w:val="008C7782"/>
    <w:rsid w:val="008D6691"/>
    <w:rsid w:val="008F29E7"/>
    <w:rsid w:val="0093298F"/>
    <w:rsid w:val="009F388D"/>
    <w:rsid w:val="00A04FB0"/>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23D7"/>
    <w:rsid w:val="00D31945"/>
    <w:rsid w:val="00D442B2"/>
    <w:rsid w:val="00DB1D2E"/>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2A7EE77-7A8C-4D18-B679-2E25E79D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215</TotalTime>
  <Pages>2</Pages>
  <Words>720</Words>
  <Characters>3893</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2025-06-04T05:13:00Z</dcterms:created>
  <dcterms:modified xsi:type="dcterms:W3CDTF">2025-06-04T11:42:00Z</dcterms:modified>
  <cp:contentStatus/>
  <dc:language>Ελληνικά</dc:language>
  <cp:version>am-20180624</cp:version>
</cp:coreProperties>
</file>