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3EAAB861" w:rsidR="00A5663B" w:rsidRPr="00A5663B" w:rsidRDefault="007A56C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18T00:00:00Z">
                    <w:dateFormat w:val="dd.MM.yyyy"/>
                    <w:lid w:val="el-GR"/>
                    <w:storeMappedDataAs w:val="dateTime"/>
                    <w:calendar w:val="gregorian"/>
                  </w:date>
                </w:sdtPr>
                <w:sdtEndPr/>
                <w:sdtContent>
                  <w:r w:rsidR="0099221F">
                    <w:t>18.06.2025</w:t>
                  </w:r>
                </w:sdtContent>
              </w:sdt>
            </w:sdtContent>
          </w:sdt>
        </w:sdtContent>
      </w:sdt>
    </w:p>
    <w:p w14:paraId="41EA2CD5" w14:textId="3F7ADAAF" w:rsidR="00A5663B" w:rsidRPr="00A5663B" w:rsidRDefault="007A56C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F2BD2">
            <w:t>679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A56C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31F863B6" w:rsidR="00177B45" w:rsidRPr="00614D55" w:rsidRDefault="007A56C4"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6E7751">
            <w:rPr>
              <w:rStyle w:val="TitleChar"/>
              <w:b/>
              <w:u w:val="none"/>
            </w:rPr>
            <w:t xml:space="preserve">Η </w:t>
          </w:r>
          <w:r w:rsidR="0076008A" w:rsidRPr="00614D55">
            <w:rPr>
              <w:rStyle w:val="TitleChar"/>
              <w:b/>
              <w:u w:val="none"/>
            </w:rPr>
            <w:t>Ε.Σ.Α.μεΑ.</w:t>
          </w:r>
          <w:r w:rsidR="006E7751">
            <w:rPr>
              <w:rStyle w:val="TitleChar"/>
              <w:b/>
              <w:u w:val="none"/>
            </w:rPr>
            <w:t xml:space="preserve"> διεκδικεί</w:t>
          </w:r>
          <w:r w:rsidR="0076008A" w:rsidRPr="00614D55">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231B23">
                <w:rPr>
                  <w:rStyle w:val="TitleChar"/>
                  <w:b/>
                  <w:u w:val="none"/>
                </w:rPr>
                <w:t xml:space="preserve">ΔΙΠΛΑΣΙΑΣΜΟ </w:t>
              </w:r>
              <w:r w:rsidR="006E7751" w:rsidRPr="00D16325">
                <w:rPr>
                  <w:rStyle w:val="TitleChar"/>
                  <w:b/>
                  <w:u w:val="none"/>
                </w:rPr>
                <w:t>εισοδηματικών ορίων</w:t>
              </w:r>
              <w:r w:rsidR="00D16325" w:rsidRPr="00D16325">
                <w:rPr>
                  <w:rStyle w:val="TitleChar"/>
                  <w:b/>
                  <w:u w:val="none"/>
                </w:rPr>
                <w:t xml:space="preserve"> </w:t>
              </w:r>
              <w:r w:rsidR="00D16325">
                <w:rPr>
                  <w:rStyle w:val="TitleChar"/>
                  <w:b/>
                  <w:u w:val="none"/>
                </w:rPr>
                <w:t>και ποσού</w:t>
              </w:r>
              <w:r w:rsidR="00CA465D" w:rsidRPr="00D16325">
                <w:rPr>
                  <w:rStyle w:val="TitleChar"/>
                  <w:b/>
                  <w:u w:val="none"/>
                </w:rPr>
                <w:t xml:space="preserve"> για τα άτομα με αναπηρία για την επιστροφή</w:t>
              </w:r>
              <w:r w:rsidR="00D16325">
                <w:rPr>
                  <w:rStyle w:val="TitleChar"/>
                  <w:b/>
                  <w:u w:val="none"/>
                </w:rPr>
                <w:t xml:space="preserve"> </w:t>
              </w:r>
              <w:r w:rsidR="006E7751" w:rsidRPr="00D16325">
                <w:rPr>
                  <w:rStyle w:val="TitleChar"/>
                  <w:b/>
                  <w:u w:val="none"/>
                </w:rPr>
                <w:t>ενοικίου</w:t>
              </w:r>
              <w:r w:rsidR="00CA465D" w:rsidRPr="00D16325">
                <w:rPr>
                  <w:rStyle w:val="TitleChar"/>
                  <w:b/>
                  <w:u w:val="none"/>
                </w:rPr>
                <w:t>: παρέμβαση στο σχέδιο νόμου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4D46117" w14:textId="00C73712" w:rsidR="0099221F" w:rsidRPr="006E7751" w:rsidRDefault="006E7751" w:rsidP="0099221F">
              <w:r w:rsidRPr="006E7751">
                <w:t xml:space="preserve">Τις προτάσεις της </w:t>
              </w:r>
              <w:r>
                <w:t>επί του νομοσχεδίου του υπ. Οικονομικών που βρίσκεται σε διαβούλευση «</w:t>
              </w:r>
              <w:r w:rsidRPr="00CA465D">
                <w:rPr>
                  <w:i/>
                </w:rPr>
                <w:t>Διασφάλιση δημοσιονομικής ισορροπίας: Μεταρρύθμιση πλαισίου δημοσιονομικής διαχείρισης κλπ.</w:t>
              </w:r>
              <w:r>
                <w:t xml:space="preserve">» και αφορά μεταξύ άλλων στην επιστροφή ενοικίου και στην ετήσια ενίσχυση 250 ευρώ κατέθεσε η ΕΣΑμεΑ. Αναλυτικά στο έγγραφο που επισυνάπτεται. </w:t>
              </w:r>
            </w:p>
            <w:p w14:paraId="327E26F8" w14:textId="6F9AA63C" w:rsidR="006E7751" w:rsidRDefault="006E7751" w:rsidP="0099221F">
              <w:r>
                <w:t xml:space="preserve">Συγκεκριμένα: </w:t>
              </w:r>
            </w:p>
            <w:p w14:paraId="74718514" w14:textId="77777777" w:rsidR="006E7751" w:rsidRPr="006E7751" w:rsidRDefault="006E7751" w:rsidP="006E7751">
              <w:pPr>
                <w:rPr>
                  <w:b/>
                </w:rPr>
              </w:pPr>
              <w:r w:rsidRPr="006E7751">
                <w:rPr>
                  <w:b/>
                </w:rPr>
                <w:t>Άρθρο 70 Επιδότηση με τη μορφή επιστροφής ποσού ενοικίου</w:t>
              </w:r>
            </w:p>
            <w:p w14:paraId="420B5616" w14:textId="3D519D1F" w:rsidR="006E7751" w:rsidRDefault="006E7751" w:rsidP="006E7751">
              <w:r>
                <w:t>Στο άρθρο αυτό διαπιστώνεται</w:t>
              </w:r>
              <w:r>
                <w:t xml:space="preserve"> ότι δεν προβλέπεται ειδική μέριμνα, στην επιδότηση με τη μορφή επιστροφής ποσού ενοικίου, για τα άτομα με αναπηρία, χρόνιες</w:t>
              </w:r>
              <w:r>
                <w:t xml:space="preserve"> ή/και σπάνιες</w:t>
              </w:r>
              <w:r>
                <w:t xml:space="preserve"> παθήσεις και τις οικογένειές τους, λαμβάνοντας υπόψη ότι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w:t>
              </w:r>
            </w:p>
            <w:p w14:paraId="47F273B7" w14:textId="6C717870" w:rsidR="006E7751" w:rsidRDefault="006E7751" w:rsidP="006E7751">
              <w:r w:rsidRPr="006E7751">
                <w:rPr>
                  <w:b/>
                </w:rPr>
                <w:t xml:space="preserve">Ο </w:t>
              </w:r>
              <w:r w:rsidRPr="006E7751">
                <w:rPr>
                  <w:b/>
                </w:rPr>
                <w:t>διπλασιασμό</w:t>
              </w:r>
              <w:r w:rsidRPr="006E7751">
                <w:rPr>
                  <w:b/>
                </w:rPr>
                <w:t>ς</w:t>
              </w:r>
              <w:r w:rsidRPr="006E7751">
                <w:rPr>
                  <w:b/>
                </w:rPr>
                <w:t xml:space="preserve"> των εισοδηματικών ορίων</w:t>
              </w:r>
              <w:r>
                <w:t xml:space="preserve"> για τα άτομα με αναπηρία, χρόνια ή/και σπάνια πάθηση, καθώς η αναπηρία συνεπάγεται αυξ</w:t>
              </w:r>
              <w:r>
                <w:t xml:space="preserve">ημένο κόστος διαβίωσης είναι </w:t>
              </w:r>
              <w:r w:rsidRPr="006E7751">
                <w:rPr>
                  <w:b/>
                </w:rPr>
                <w:t>ΕΠΙΒΕΒΛΗΜΕΝΟΣ</w:t>
              </w:r>
              <w:r>
                <w:t xml:space="preserve">. </w:t>
              </w:r>
              <w:r>
                <w:t xml:space="preserve">Παράλληλα, κρίνεται αναγκαίος και ο </w:t>
              </w:r>
              <w:r w:rsidRPr="00D16325">
                <w:rPr>
                  <w:b/>
                </w:rPr>
                <w:t>διπλασιασμός του ποσού επιδότησης ενοικίου</w:t>
              </w:r>
              <w:r>
                <w:t>, για τα άτομα με αναπηρία, δεδομένου ότι το κόστος στέγασης αυξάνεται σημαντικά λόγω της περιορισμένης διαθεσιμότητας κατοικιών που πληρούν τις προδιαγραφές προσβασιμότητας.</w:t>
              </w:r>
            </w:p>
            <w:p w14:paraId="58265919" w14:textId="539FAEDC" w:rsidR="006E7751" w:rsidRPr="006E7751" w:rsidRDefault="006E7751" w:rsidP="006E7751">
              <w:pPr>
                <w:rPr>
                  <w:b/>
                </w:rPr>
              </w:pPr>
              <w:r w:rsidRPr="006E7751">
                <w:rPr>
                  <w:b/>
                </w:rPr>
                <w:t xml:space="preserve">Άρθρο 72 Ετήσια οικονομική ενίσχυση ευάλωτων κοινωνικών ομάδων </w:t>
              </w:r>
            </w:p>
            <w:p w14:paraId="124DE3C2" w14:textId="77777777" w:rsidR="00D16325" w:rsidRDefault="006E7751" w:rsidP="00AD003B">
              <w:r>
                <w:t xml:space="preserve">Στην παρ. 2 του άρθρου, καθορίζονται οι κατηγορίες των ατόμων με αναπηρία που λαμβάνουν σύνταξη ή  επίδομα λόγω αναπηρίας, στους οποίους θα καταβληθεί η μόνιμη οικονομική </w:t>
              </w:r>
              <w:r w:rsidR="00D16325">
                <w:t>ενίσχυση των 250 ευρώ.</w:t>
              </w:r>
            </w:p>
            <w:p w14:paraId="020B0E1C" w14:textId="51274318" w:rsidR="00CA440F" w:rsidRPr="007F5426" w:rsidRDefault="006E7751" w:rsidP="00AD003B">
              <w:r>
                <w:t xml:space="preserve">Ωστόσο, η παραπάνω οικονομική </w:t>
              </w:r>
              <w:r w:rsidRPr="00CA465D">
                <w:rPr>
                  <w:b/>
                </w:rPr>
                <w:t>ενίσχυση δεν παρέχεται σε όλα τα άτομα με αναπηρία ή/και χρόνιες παθήσεις που λαμβάνουν σύνταξη ή επίδομα λόγω αναπηρίας</w:t>
              </w:r>
              <w:r>
                <w:t xml:space="preserve"> καθώς υπάρχουν επιδόματα που καταβάλλονται από διαφορετικό φορέα από τις προαναφ</w:t>
              </w:r>
              <w:r w:rsidR="00CA465D">
                <w:t>ερόμενους. Σ</w:t>
              </w:r>
              <w:r>
                <w:t xml:space="preserve">υγκεκριμένα, οι εργαζόμενοι με αναπηρία που υπηρετούν σε Ν.Π.Δ.Δ. και Ο.Τ.Α. και τα μέλη των οικογενειών τους (έμμεσα ασφαλισμένοι) οι οποίοι λαμβάνουν το εξωιδρυματικό επίδομα από το Φορέα στον οποίο υπηρετούν και οι συνταξιούχοι λόγω αναπηρίας που λαμβάνουν το επίδομα απόλυτης αναπηρίας από τον e-ΕΦΚΑ, δεν ανήκουν στους δικαιούχους. </w:t>
              </w:r>
              <w:r w:rsidRPr="00CA465D">
                <w:rPr>
                  <w:b/>
                </w:rPr>
                <w:t>Αυτό αποτελεί διάκριση</w:t>
              </w:r>
              <w:r>
                <w:t xml:space="preserve"> μεταξύ των ατόμων με αναπηρία και </w:t>
              </w:r>
              <w:r>
                <w:t>η ΕΣΑμεΑ ζητά</w:t>
              </w:r>
              <w:r>
                <w:t xml:space="preserve"> τη διόρθωσή του, ώστε να συμπεριληφθούν στους δικαιούχους της εν λόγω ετήσιας  οικονομικής ενίσχυσης, οι δικαιούχοι του εξωιδρυματικού επιδόματος που εργάζονται σε Ο.Τ.Α. και Ν.Π.Δ.Δ. και τα μέλη των οικογενειών τους (έμμεσα ασφαλισμένοι) οι οποίοι λαμβάνουν το επίδομα από </w:t>
              </w:r>
              <w:r>
                <w:lastRenderedPageBreak/>
                <w:t>το Φορέα στον οποίο υπηρετούν, καθώς και οι δικαιούχοι του επιδόματος απόλυτης αναπηρίας που λαμβάνουν σύνταξη λόγω αναπηρίας από τον e-ΕΦΚΑ.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F607" w14:textId="77777777" w:rsidR="007A56C4" w:rsidRDefault="007A56C4" w:rsidP="00A5663B">
      <w:pPr>
        <w:spacing w:after="0" w:line="240" w:lineRule="auto"/>
      </w:pPr>
      <w:r>
        <w:separator/>
      </w:r>
    </w:p>
    <w:p w14:paraId="25903A91" w14:textId="77777777" w:rsidR="007A56C4" w:rsidRDefault="007A56C4"/>
  </w:endnote>
  <w:endnote w:type="continuationSeparator" w:id="0">
    <w:p w14:paraId="57AC6824" w14:textId="77777777" w:rsidR="007A56C4" w:rsidRDefault="007A56C4" w:rsidP="00A5663B">
      <w:pPr>
        <w:spacing w:after="0" w:line="240" w:lineRule="auto"/>
      </w:pPr>
      <w:r>
        <w:continuationSeparator/>
      </w:r>
    </w:p>
    <w:p w14:paraId="0C2416F5" w14:textId="77777777" w:rsidR="007A56C4" w:rsidRDefault="007A5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31B23">
              <w:rPr>
                <w:noProof/>
              </w:rPr>
              <w:t>2</w:t>
            </w:r>
            <w:r>
              <w:fldChar w:fldCharType="end"/>
            </w:r>
          </w:p>
          <w:p w14:paraId="1E01C7B2" w14:textId="77777777" w:rsidR="0076008A" w:rsidRDefault="007A56C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7AC9B" w14:textId="77777777" w:rsidR="007A56C4" w:rsidRDefault="007A56C4" w:rsidP="00A5663B">
      <w:pPr>
        <w:spacing w:after="0" w:line="240" w:lineRule="auto"/>
      </w:pPr>
      <w:bookmarkStart w:id="0" w:name="_Hlk484772647"/>
      <w:bookmarkEnd w:id="0"/>
      <w:r>
        <w:separator/>
      </w:r>
    </w:p>
    <w:p w14:paraId="3E958F79" w14:textId="77777777" w:rsidR="007A56C4" w:rsidRDefault="007A56C4"/>
  </w:footnote>
  <w:footnote w:type="continuationSeparator" w:id="0">
    <w:p w14:paraId="4E8F0FB1" w14:textId="77777777" w:rsidR="007A56C4" w:rsidRDefault="007A56C4" w:rsidP="00A5663B">
      <w:pPr>
        <w:spacing w:after="0" w:line="240" w:lineRule="auto"/>
      </w:pPr>
      <w:r>
        <w:continuationSeparator/>
      </w:r>
    </w:p>
    <w:p w14:paraId="6159EA84" w14:textId="77777777" w:rsidR="007A56C4" w:rsidRDefault="007A56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2DD4043"/>
    <w:multiLevelType w:val="hybridMultilevel"/>
    <w:tmpl w:val="9AF08D4E"/>
    <w:lvl w:ilvl="0" w:tplc="533E005A">
      <w:numFmt w:val="bullet"/>
      <w:lvlText w:val="-"/>
      <w:lvlJc w:val="left"/>
      <w:pPr>
        <w:ind w:left="360" w:hanging="360"/>
      </w:pPr>
      <w:rPr>
        <w:rFonts w:ascii="Aptos" w:eastAsiaTheme="minorHAnsi" w:hAnsi="Aptos"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D847B86"/>
    <w:multiLevelType w:val="hybridMultilevel"/>
    <w:tmpl w:val="46E2A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D243298"/>
    <w:multiLevelType w:val="hybridMultilevel"/>
    <w:tmpl w:val="462A2C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2"/>
  </w:num>
  <w:num w:numId="11">
    <w:abstractNumId w:val="21"/>
  </w:num>
  <w:num w:numId="12">
    <w:abstractNumId w:val="11"/>
  </w:num>
  <w:num w:numId="13">
    <w:abstractNumId w:val="5"/>
  </w:num>
  <w:num w:numId="14">
    <w:abstractNumId w:val="1"/>
  </w:num>
  <w:num w:numId="15">
    <w:abstractNumId w:val="6"/>
  </w:num>
  <w:num w:numId="16">
    <w:abstractNumId w:val="16"/>
  </w:num>
  <w:num w:numId="17">
    <w:abstractNumId w:val="9"/>
  </w:num>
  <w:num w:numId="18">
    <w:abstractNumId w:val="4"/>
  </w:num>
  <w:num w:numId="19">
    <w:abstractNumId w:val="12"/>
  </w:num>
  <w:num w:numId="20">
    <w:abstractNumId w:val="20"/>
  </w:num>
  <w:num w:numId="21">
    <w:abstractNumId w:val="13"/>
  </w:num>
  <w:num w:numId="22">
    <w:abstractNumId w:val="17"/>
  </w:num>
  <w:num w:numId="23">
    <w:abstractNumId w:val="7"/>
  </w:num>
  <w:num w:numId="24">
    <w:abstractNumId w:val="14"/>
  </w:num>
  <w:num w:numId="25">
    <w:abstractNumId w:val="18"/>
  </w:num>
  <w:num w:numId="26">
    <w:abstractNumId w:val="3"/>
  </w:num>
  <w:num w:numId="27">
    <w:abstractNumId w:val="19"/>
  </w:num>
  <w:num w:numId="28">
    <w:abstractNumId w:val="0"/>
  </w:num>
  <w:num w:numId="29">
    <w:abstractNumId w:val="2"/>
  </w:num>
  <w:num w:numId="30">
    <w:abstractNumId w:val="10"/>
  </w:num>
  <w:num w:numId="31">
    <w:abstractNumId w:val="15"/>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674E8"/>
    <w:rsid w:val="0008214A"/>
    <w:rsid w:val="000864B5"/>
    <w:rsid w:val="00087DF8"/>
    <w:rsid w:val="00091240"/>
    <w:rsid w:val="00096CDC"/>
    <w:rsid w:val="000A5463"/>
    <w:rsid w:val="000B3C96"/>
    <w:rsid w:val="000C099E"/>
    <w:rsid w:val="000C14DF"/>
    <w:rsid w:val="000C411D"/>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357D"/>
    <w:rsid w:val="00135B10"/>
    <w:rsid w:val="00136BB7"/>
    <w:rsid w:val="0016039E"/>
    <w:rsid w:val="001623D2"/>
    <w:rsid w:val="00162CAE"/>
    <w:rsid w:val="001639AB"/>
    <w:rsid w:val="001655E7"/>
    <w:rsid w:val="001703AC"/>
    <w:rsid w:val="00177B45"/>
    <w:rsid w:val="00181C15"/>
    <w:rsid w:val="0019216D"/>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1B23"/>
    <w:rsid w:val="00235114"/>
    <w:rsid w:val="00236A27"/>
    <w:rsid w:val="0024462C"/>
    <w:rsid w:val="00255DD0"/>
    <w:rsid w:val="002570E4"/>
    <w:rsid w:val="00264E1B"/>
    <w:rsid w:val="0026597B"/>
    <w:rsid w:val="0027672E"/>
    <w:rsid w:val="00285B17"/>
    <w:rsid w:val="0029745D"/>
    <w:rsid w:val="002A350B"/>
    <w:rsid w:val="002B31A7"/>
    <w:rsid w:val="002B43D6"/>
    <w:rsid w:val="002B6F18"/>
    <w:rsid w:val="002C22BE"/>
    <w:rsid w:val="002C4134"/>
    <w:rsid w:val="002C6FF7"/>
    <w:rsid w:val="002D0AB7"/>
    <w:rsid w:val="002D1046"/>
    <w:rsid w:val="002E14EC"/>
    <w:rsid w:val="002F2BD2"/>
    <w:rsid w:val="002F38DE"/>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656E3"/>
    <w:rsid w:val="00472CFE"/>
    <w:rsid w:val="00483ACE"/>
    <w:rsid w:val="00483EE0"/>
    <w:rsid w:val="00484BB6"/>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19AD"/>
    <w:rsid w:val="005F5A54"/>
    <w:rsid w:val="005F6939"/>
    <w:rsid w:val="00610A7E"/>
    <w:rsid w:val="00612214"/>
    <w:rsid w:val="00614D55"/>
    <w:rsid w:val="00617AC0"/>
    <w:rsid w:val="00617BF3"/>
    <w:rsid w:val="0062373B"/>
    <w:rsid w:val="0062430D"/>
    <w:rsid w:val="00627C30"/>
    <w:rsid w:val="00627CBE"/>
    <w:rsid w:val="006349C5"/>
    <w:rsid w:val="00642AA7"/>
    <w:rsid w:val="0064495A"/>
    <w:rsid w:val="00647299"/>
    <w:rsid w:val="00651CD5"/>
    <w:rsid w:val="006604D1"/>
    <w:rsid w:val="0066741D"/>
    <w:rsid w:val="00677A79"/>
    <w:rsid w:val="0068732D"/>
    <w:rsid w:val="00687C76"/>
    <w:rsid w:val="00690A15"/>
    <w:rsid w:val="006A52F5"/>
    <w:rsid w:val="006A785A"/>
    <w:rsid w:val="006B0A3E"/>
    <w:rsid w:val="006B74ED"/>
    <w:rsid w:val="006D0554"/>
    <w:rsid w:val="006E3927"/>
    <w:rsid w:val="006E5335"/>
    <w:rsid w:val="006E692F"/>
    <w:rsid w:val="006E6B93"/>
    <w:rsid w:val="006E7751"/>
    <w:rsid w:val="006F050F"/>
    <w:rsid w:val="006F19AB"/>
    <w:rsid w:val="006F1A60"/>
    <w:rsid w:val="006F68D0"/>
    <w:rsid w:val="00717309"/>
    <w:rsid w:val="0072145A"/>
    <w:rsid w:val="007237A6"/>
    <w:rsid w:val="007241F3"/>
    <w:rsid w:val="00735EDD"/>
    <w:rsid w:val="00752538"/>
    <w:rsid w:val="00753897"/>
    <w:rsid w:val="00754C30"/>
    <w:rsid w:val="0076008A"/>
    <w:rsid w:val="007636BC"/>
    <w:rsid w:val="00763FCD"/>
    <w:rsid w:val="00767D09"/>
    <w:rsid w:val="0077016C"/>
    <w:rsid w:val="00780F14"/>
    <w:rsid w:val="0078467C"/>
    <w:rsid w:val="007A2059"/>
    <w:rsid w:val="007A56C4"/>
    <w:rsid w:val="007A781F"/>
    <w:rsid w:val="007C414F"/>
    <w:rsid w:val="007E0FC7"/>
    <w:rsid w:val="007E23D2"/>
    <w:rsid w:val="007E66D9"/>
    <w:rsid w:val="007F5426"/>
    <w:rsid w:val="0080300C"/>
    <w:rsid w:val="0080787B"/>
    <w:rsid w:val="008104A7"/>
    <w:rsid w:val="00811A9B"/>
    <w:rsid w:val="00811F34"/>
    <w:rsid w:val="00816899"/>
    <w:rsid w:val="00827A33"/>
    <w:rsid w:val="008305AD"/>
    <w:rsid w:val="008321C9"/>
    <w:rsid w:val="00842387"/>
    <w:rsid w:val="00842727"/>
    <w:rsid w:val="00850E24"/>
    <w:rsid w:val="00857467"/>
    <w:rsid w:val="00861A8D"/>
    <w:rsid w:val="00873758"/>
    <w:rsid w:val="00876B17"/>
    <w:rsid w:val="00880266"/>
    <w:rsid w:val="00886205"/>
    <w:rsid w:val="00890E52"/>
    <w:rsid w:val="008960BB"/>
    <w:rsid w:val="008968D0"/>
    <w:rsid w:val="008A0024"/>
    <w:rsid w:val="008A26A3"/>
    <w:rsid w:val="008A3198"/>
    <w:rsid w:val="008A421B"/>
    <w:rsid w:val="008B3278"/>
    <w:rsid w:val="008B4469"/>
    <w:rsid w:val="008B5B34"/>
    <w:rsid w:val="008C7E51"/>
    <w:rsid w:val="008E64F8"/>
    <w:rsid w:val="008F12D4"/>
    <w:rsid w:val="008F26CE"/>
    <w:rsid w:val="008F38F0"/>
    <w:rsid w:val="008F3A2E"/>
    <w:rsid w:val="008F4A49"/>
    <w:rsid w:val="00906FB5"/>
    <w:rsid w:val="009070E8"/>
    <w:rsid w:val="009077DF"/>
    <w:rsid w:val="009132F9"/>
    <w:rsid w:val="00923E20"/>
    <w:rsid w:val="00926A5C"/>
    <w:rsid w:val="009324B1"/>
    <w:rsid w:val="00935D82"/>
    <w:rsid w:val="00936BAC"/>
    <w:rsid w:val="00941FD2"/>
    <w:rsid w:val="009503E0"/>
    <w:rsid w:val="00953909"/>
    <w:rsid w:val="009603EA"/>
    <w:rsid w:val="00972E62"/>
    <w:rsid w:val="00980425"/>
    <w:rsid w:val="00983BDA"/>
    <w:rsid w:val="009860EC"/>
    <w:rsid w:val="0099221F"/>
    <w:rsid w:val="00995C38"/>
    <w:rsid w:val="009A4192"/>
    <w:rsid w:val="009B3183"/>
    <w:rsid w:val="009B42FB"/>
    <w:rsid w:val="009C06F7"/>
    <w:rsid w:val="009C4D45"/>
    <w:rsid w:val="009C639C"/>
    <w:rsid w:val="009D03EE"/>
    <w:rsid w:val="009E4119"/>
    <w:rsid w:val="009E583E"/>
    <w:rsid w:val="009E6773"/>
    <w:rsid w:val="009F65D5"/>
    <w:rsid w:val="00A04D49"/>
    <w:rsid w:val="00A0512E"/>
    <w:rsid w:val="00A07F1B"/>
    <w:rsid w:val="00A11FF3"/>
    <w:rsid w:val="00A133FB"/>
    <w:rsid w:val="00A22E67"/>
    <w:rsid w:val="00A24A4D"/>
    <w:rsid w:val="00A3030D"/>
    <w:rsid w:val="00A32253"/>
    <w:rsid w:val="00A33D4C"/>
    <w:rsid w:val="00A35350"/>
    <w:rsid w:val="00A50290"/>
    <w:rsid w:val="00A5663B"/>
    <w:rsid w:val="00A57999"/>
    <w:rsid w:val="00A66F36"/>
    <w:rsid w:val="00A72997"/>
    <w:rsid w:val="00A8235C"/>
    <w:rsid w:val="00A8604A"/>
    <w:rsid w:val="00A862B1"/>
    <w:rsid w:val="00A90B3F"/>
    <w:rsid w:val="00A9568B"/>
    <w:rsid w:val="00A95FBA"/>
    <w:rsid w:val="00AA5E3A"/>
    <w:rsid w:val="00AA7FE9"/>
    <w:rsid w:val="00AB2576"/>
    <w:rsid w:val="00AC0D27"/>
    <w:rsid w:val="00AC766E"/>
    <w:rsid w:val="00AD003B"/>
    <w:rsid w:val="00AD13AB"/>
    <w:rsid w:val="00AE40C5"/>
    <w:rsid w:val="00AF1116"/>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72DE"/>
    <w:rsid w:val="00B73A9A"/>
    <w:rsid w:val="00B8001B"/>
    <w:rsid w:val="00B8325E"/>
    <w:rsid w:val="00B84EFE"/>
    <w:rsid w:val="00B863EE"/>
    <w:rsid w:val="00B926D1"/>
    <w:rsid w:val="00B92A91"/>
    <w:rsid w:val="00B969F5"/>
    <w:rsid w:val="00B977C3"/>
    <w:rsid w:val="00BA4ECA"/>
    <w:rsid w:val="00BA58A9"/>
    <w:rsid w:val="00BB04EC"/>
    <w:rsid w:val="00BB1FC6"/>
    <w:rsid w:val="00BC5C95"/>
    <w:rsid w:val="00BC61D6"/>
    <w:rsid w:val="00BC7F13"/>
    <w:rsid w:val="00BD0A9B"/>
    <w:rsid w:val="00BD105C"/>
    <w:rsid w:val="00BE04D8"/>
    <w:rsid w:val="00BE52FC"/>
    <w:rsid w:val="00BE6103"/>
    <w:rsid w:val="00BE61D6"/>
    <w:rsid w:val="00BF17AC"/>
    <w:rsid w:val="00BF7928"/>
    <w:rsid w:val="00C0166C"/>
    <w:rsid w:val="00C04B0C"/>
    <w:rsid w:val="00C12B45"/>
    <w:rsid w:val="00C13744"/>
    <w:rsid w:val="00C1502A"/>
    <w:rsid w:val="00C16320"/>
    <w:rsid w:val="00C179D0"/>
    <w:rsid w:val="00C2350C"/>
    <w:rsid w:val="00C243A1"/>
    <w:rsid w:val="00C27853"/>
    <w:rsid w:val="00C30176"/>
    <w:rsid w:val="00C3040D"/>
    <w:rsid w:val="00C32FBB"/>
    <w:rsid w:val="00C34614"/>
    <w:rsid w:val="00C4571F"/>
    <w:rsid w:val="00C46534"/>
    <w:rsid w:val="00C54603"/>
    <w:rsid w:val="00C54B4B"/>
    <w:rsid w:val="00C55583"/>
    <w:rsid w:val="00C606B8"/>
    <w:rsid w:val="00C6720A"/>
    <w:rsid w:val="00C70B1E"/>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A465D"/>
    <w:rsid w:val="00CC22AC"/>
    <w:rsid w:val="00CC59F5"/>
    <w:rsid w:val="00CC62E9"/>
    <w:rsid w:val="00CD3CE2"/>
    <w:rsid w:val="00CD5A7F"/>
    <w:rsid w:val="00CD6D05"/>
    <w:rsid w:val="00CE0328"/>
    <w:rsid w:val="00CE5D89"/>
    <w:rsid w:val="00CE5FF4"/>
    <w:rsid w:val="00CF0E8A"/>
    <w:rsid w:val="00CF29CD"/>
    <w:rsid w:val="00CF34BB"/>
    <w:rsid w:val="00D003BC"/>
    <w:rsid w:val="00D00AC1"/>
    <w:rsid w:val="00D00BBF"/>
    <w:rsid w:val="00D01C51"/>
    <w:rsid w:val="00D07F02"/>
    <w:rsid w:val="00D11B9D"/>
    <w:rsid w:val="00D1260B"/>
    <w:rsid w:val="00D14800"/>
    <w:rsid w:val="00D16325"/>
    <w:rsid w:val="00D16345"/>
    <w:rsid w:val="00D31749"/>
    <w:rsid w:val="00D35A4C"/>
    <w:rsid w:val="00D37E77"/>
    <w:rsid w:val="00D4303F"/>
    <w:rsid w:val="00D43376"/>
    <w:rsid w:val="00D43BF3"/>
    <w:rsid w:val="00D43FB8"/>
    <w:rsid w:val="00D4455A"/>
    <w:rsid w:val="00D648BE"/>
    <w:rsid w:val="00D72538"/>
    <w:rsid w:val="00D7519B"/>
    <w:rsid w:val="00D90302"/>
    <w:rsid w:val="00D94751"/>
    <w:rsid w:val="00DA368A"/>
    <w:rsid w:val="00DA5411"/>
    <w:rsid w:val="00DB066F"/>
    <w:rsid w:val="00DB0C51"/>
    <w:rsid w:val="00DB0DFA"/>
    <w:rsid w:val="00DB2FC8"/>
    <w:rsid w:val="00DB6C14"/>
    <w:rsid w:val="00DC13F2"/>
    <w:rsid w:val="00DC19B7"/>
    <w:rsid w:val="00DC64B0"/>
    <w:rsid w:val="00DD04EB"/>
    <w:rsid w:val="00DD0B77"/>
    <w:rsid w:val="00DD1D03"/>
    <w:rsid w:val="00DD3C2D"/>
    <w:rsid w:val="00DD4595"/>
    <w:rsid w:val="00DD6356"/>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64ECC"/>
    <w:rsid w:val="00E70687"/>
    <w:rsid w:val="00E72589"/>
    <w:rsid w:val="00E740DB"/>
    <w:rsid w:val="00E776F1"/>
    <w:rsid w:val="00E84940"/>
    <w:rsid w:val="00E90884"/>
    <w:rsid w:val="00E922F5"/>
    <w:rsid w:val="00E9293A"/>
    <w:rsid w:val="00E97BB2"/>
    <w:rsid w:val="00EA31DD"/>
    <w:rsid w:val="00EB5A3B"/>
    <w:rsid w:val="00EC256D"/>
    <w:rsid w:val="00EC61A5"/>
    <w:rsid w:val="00ED1F39"/>
    <w:rsid w:val="00EE0615"/>
    <w:rsid w:val="00EE0F94"/>
    <w:rsid w:val="00EE1817"/>
    <w:rsid w:val="00EE1EE0"/>
    <w:rsid w:val="00EE48D4"/>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1BBF"/>
    <w:rsid w:val="00F64D51"/>
    <w:rsid w:val="00F736BA"/>
    <w:rsid w:val="00F755E4"/>
    <w:rsid w:val="00F80939"/>
    <w:rsid w:val="00F84821"/>
    <w:rsid w:val="00F95A39"/>
    <w:rsid w:val="00F976F5"/>
    <w:rsid w:val="00F97D08"/>
    <w:rsid w:val="00FA015E"/>
    <w:rsid w:val="00FA1B8F"/>
    <w:rsid w:val="00FA55E7"/>
    <w:rsid w:val="00FB6B3D"/>
    <w:rsid w:val="00FC61EC"/>
    <w:rsid w:val="00FD7E37"/>
    <w:rsid w:val="00FE48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14101"/>
    <w:rsid w:val="0022005F"/>
    <w:rsid w:val="00293B11"/>
    <w:rsid w:val="00297E5F"/>
    <w:rsid w:val="002A1FF1"/>
    <w:rsid w:val="002A3CAA"/>
    <w:rsid w:val="002A7333"/>
    <w:rsid w:val="002B512C"/>
    <w:rsid w:val="002F45FB"/>
    <w:rsid w:val="0034726D"/>
    <w:rsid w:val="00394914"/>
    <w:rsid w:val="004803A1"/>
    <w:rsid w:val="004A12D9"/>
    <w:rsid w:val="004D24F1"/>
    <w:rsid w:val="004D5DB6"/>
    <w:rsid w:val="004E727B"/>
    <w:rsid w:val="00512867"/>
    <w:rsid w:val="00523FD3"/>
    <w:rsid w:val="005332D1"/>
    <w:rsid w:val="00576590"/>
    <w:rsid w:val="005A5981"/>
    <w:rsid w:val="005B71F3"/>
    <w:rsid w:val="005E1DE4"/>
    <w:rsid w:val="006247F1"/>
    <w:rsid w:val="006314AD"/>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0666A"/>
    <w:rsid w:val="0093298F"/>
    <w:rsid w:val="009F388D"/>
    <w:rsid w:val="00A13A66"/>
    <w:rsid w:val="00A173A4"/>
    <w:rsid w:val="00A3326E"/>
    <w:rsid w:val="00A408D9"/>
    <w:rsid w:val="00A51A75"/>
    <w:rsid w:val="00A75452"/>
    <w:rsid w:val="00AB6F61"/>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CE1D50"/>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B27430-2B74-4637-9409-8C304EF1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568</Words>
  <Characters>3069</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2025-06-18T05:29:00Z</dcterms:created>
  <dcterms:modified xsi:type="dcterms:W3CDTF">2025-06-18T07:07:00Z</dcterms:modified>
  <cp:contentStatus/>
  <dc:language>Ελληνικά</dc:language>
  <cp:version>am-20180624</cp:version>
</cp:coreProperties>
</file>