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CE5278" w:rsidRPr="00CC066D" w14:paraId="2C9F57E1" w14:textId="77777777">
        <w:trPr>
          <w:jc w:val="center"/>
        </w:trPr>
        <w:tc>
          <w:tcPr>
            <w:tcW w:w="5000" w:type="pct"/>
            <w:vAlign w:val="center"/>
          </w:tcPr>
          <w:p w14:paraId="0944B9FA" w14:textId="77777777" w:rsidR="00901B76" w:rsidRPr="00CC066D" w:rsidRDefault="00901B76" w:rsidP="0095280D">
            <w:pPr>
              <w:jc w:val="center"/>
              <w:rPr>
                <w:b/>
                <w:sz w:val="72"/>
                <w:szCs w:val="72"/>
              </w:rPr>
            </w:pPr>
            <w:bookmarkStart w:id="0" w:name="_GoBack"/>
            <w:bookmarkEnd w:id="0"/>
            <w:r w:rsidRPr="00CC066D">
              <w:rPr>
                <w:b/>
                <w:sz w:val="72"/>
              </w:rPr>
              <w:t>ΨΗΦΙΣΜΑ</w:t>
            </w:r>
          </w:p>
        </w:tc>
      </w:tr>
      <w:tr w:rsidR="00CE5278" w:rsidRPr="00CC066D" w14:paraId="78CA885E" w14:textId="77777777">
        <w:trPr>
          <w:trHeight w:val="567"/>
          <w:jc w:val="center"/>
        </w:trPr>
        <w:tc>
          <w:tcPr>
            <w:tcW w:w="5000" w:type="pct"/>
            <w:vAlign w:val="center"/>
          </w:tcPr>
          <w:p w14:paraId="77FB2515" w14:textId="77777777" w:rsidR="00901B76" w:rsidRPr="00CC066D" w:rsidRDefault="00901B76" w:rsidP="0095280D">
            <w:pPr>
              <w:jc w:val="center"/>
              <w:rPr>
                <w:sz w:val="24"/>
                <w:szCs w:val="24"/>
              </w:rPr>
            </w:pPr>
            <w:r w:rsidRPr="00CC066D">
              <w:rPr>
                <w:sz w:val="24"/>
              </w:rPr>
              <w:t>Ευρωπαϊκή Οικονομική και Κοινωνική Επιτροπή</w:t>
            </w:r>
          </w:p>
        </w:tc>
      </w:tr>
      <w:tr w:rsidR="00CE5278" w:rsidRPr="00CC066D" w14:paraId="258ED248" w14:textId="77777777">
        <w:trPr>
          <w:jc w:val="center"/>
        </w:trPr>
        <w:tc>
          <w:tcPr>
            <w:tcW w:w="5000" w:type="pct"/>
            <w:vAlign w:val="center"/>
          </w:tcPr>
          <w:p w14:paraId="0CDE742A" w14:textId="77777777" w:rsidR="005127DA" w:rsidRPr="00CC066D" w:rsidRDefault="005127DA" w:rsidP="005127DA">
            <w:pPr>
              <w:jc w:val="center"/>
              <w:rPr>
                <w:b/>
                <w:sz w:val="44"/>
                <w:szCs w:val="44"/>
              </w:rPr>
            </w:pPr>
            <w:r w:rsidRPr="00CC066D">
              <w:rPr>
                <w:b/>
                <w:sz w:val="44"/>
              </w:rPr>
              <w:t>Κανείς δεν θα πρέπει να μείνει στο περιθώριο!</w:t>
            </w:r>
          </w:p>
          <w:p w14:paraId="4D1B2608" w14:textId="77777777" w:rsidR="00901B76" w:rsidRPr="00CC066D" w:rsidRDefault="005127DA" w:rsidP="005127DA">
            <w:pPr>
              <w:jc w:val="center"/>
              <w:rPr>
                <w:b/>
                <w:sz w:val="44"/>
                <w:szCs w:val="44"/>
              </w:rPr>
            </w:pPr>
            <w:r w:rsidRPr="00CC066D">
              <w:rPr>
                <w:b/>
                <w:sz w:val="44"/>
              </w:rPr>
              <w:t>Για μια συμμετοχική και χωρίς αποκλεισμούς πολιτική συνοχής με σκοπό τη στήριξη της κοινωνικής, οικονομικής και εδαφικής συνοχής</w:t>
            </w:r>
          </w:p>
        </w:tc>
      </w:tr>
      <w:tr w:rsidR="00CE5278" w:rsidRPr="00CC066D" w14:paraId="0CE99232" w14:textId="77777777">
        <w:trPr>
          <w:jc w:val="center"/>
        </w:trPr>
        <w:tc>
          <w:tcPr>
            <w:tcW w:w="5000" w:type="pct"/>
            <w:vAlign w:val="center"/>
          </w:tcPr>
          <w:p w14:paraId="7325D1AB" w14:textId="77777777" w:rsidR="00901B76" w:rsidRPr="00CC066D" w:rsidRDefault="00901B76" w:rsidP="0095280D">
            <w:pPr>
              <w:jc w:val="center"/>
              <w:rPr>
                <w:sz w:val="24"/>
                <w:szCs w:val="24"/>
              </w:rPr>
            </w:pPr>
          </w:p>
        </w:tc>
      </w:tr>
      <w:tr w:rsidR="00CE5278" w:rsidRPr="00CC066D" w14:paraId="7658ACEF" w14:textId="77777777">
        <w:trPr>
          <w:jc w:val="center"/>
        </w:trPr>
        <w:tc>
          <w:tcPr>
            <w:tcW w:w="5000" w:type="pct"/>
            <w:vAlign w:val="center"/>
          </w:tcPr>
          <w:p w14:paraId="779A526A" w14:textId="77777777" w:rsidR="00901B76" w:rsidRPr="00CC066D" w:rsidRDefault="00901B76" w:rsidP="0095280D">
            <w:pPr>
              <w:overflowPunct w:val="0"/>
              <w:autoSpaceDE w:val="0"/>
              <w:autoSpaceDN w:val="0"/>
              <w:adjustRightInd w:val="0"/>
              <w:jc w:val="center"/>
              <w:textAlignment w:val="baseline"/>
              <w:rPr>
                <w:b/>
                <w:position w:val="24"/>
                <w:sz w:val="24"/>
                <w:szCs w:val="24"/>
              </w:rPr>
            </w:pPr>
            <w:r w:rsidRPr="00CC066D">
              <w:rPr>
                <w:sz w:val="24"/>
              </w:rPr>
              <w:t>_____________</w:t>
            </w:r>
          </w:p>
        </w:tc>
      </w:tr>
      <w:tr w:rsidR="00CE5278" w:rsidRPr="00CC066D" w14:paraId="6D998342" w14:textId="77777777">
        <w:trPr>
          <w:jc w:val="center"/>
        </w:trPr>
        <w:tc>
          <w:tcPr>
            <w:tcW w:w="5000" w:type="pct"/>
            <w:vAlign w:val="center"/>
          </w:tcPr>
          <w:p w14:paraId="42EF338D" w14:textId="77777777" w:rsidR="00901B76" w:rsidRPr="00CC066D" w:rsidRDefault="00901B76" w:rsidP="0095280D">
            <w:pPr>
              <w:jc w:val="center"/>
              <w:rPr>
                <w:sz w:val="24"/>
                <w:szCs w:val="24"/>
              </w:rPr>
            </w:pPr>
          </w:p>
        </w:tc>
      </w:tr>
      <w:tr w:rsidR="00CE5278" w:rsidRPr="00CC066D" w14:paraId="76B819D5" w14:textId="77777777">
        <w:trPr>
          <w:jc w:val="center"/>
        </w:trPr>
        <w:tc>
          <w:tcPr>
            <w:tcW w:w="5000" w:type="pct"/>
            <w:vAlign w:val="center"/>
          </w:tcPr>
          <w:p w14:paraId="354D6F6B" w14:textId="77777777" w:rsidR="00901B76" w:rsidRPr="00CC066D" w:rsidRDefault="00901B76" w:rsidP="0095280D">
            <w:pPr>
              <w:jc w:val="center"/>
              <w:rPr>
                <w:b/>
                <w:sz w:val="24"/>
                <w:szCs w:val="24"/>
              </w:rPr>
            </w:pPr>
            <w:r w:rsidRPr="00CC066D">
              <w:rPr>
                <w:sz w:val="24"/>
              </w:rPr>
              <w:t xml:space="preserve">Εισηγητής: </w:t>
            </w:r>
            <w:r w:rsidRPr="00CC066D">
              <w:rPr>
                <w:b/>
                <w:sz w:val="24"/>
              </w:rPr>
              <w:t>Ιωάννης ΒΑΡΔΑΚΑΣΤΑΝΗΣ</w:t>
            </w:r>
          </w:p>
        </w:tc>
      </w:tr>
    </w:tbl>
    <w:p w14:paraId="0FC408E7" w14:textId="77777777" w:rsidR="00574C9B" w:rsidRPr="00CC066D" w:rsidRDefault="00574C9B" w:rsidP="00574C9B">
      <w:r w:rsidRPr="00CC066D">
        <w:rPr>
          <w:noProof/>
          <w:sz w:val="20"/>
          <w:lang w:eastAsia="el-GR"/>
        </w:rPr>
        <mc:AlternateContent>
          <mc:Choice Requires="wps">
            <w:drawing>
              <wp:anchor distT="0" distB="0" distL="114300" distR="114300" simplePos="0" relativeHeight="251659264" behindDoc="1" locked="0" layoutInCell="0" allowOverlap="1" wp14:anchorId="2F570EE4" wp14:editId="39E31A5E">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81F2" w14:textId="77777777" w:rsidR="00574C9B" w:rsidRPr="00CC066D" w:rsidRDefault="00574C9B" w:rsidP="00574C9B">
                            <w:pPr>
                              <w:jc w:val="center"/>
                            </w:pPr>
                            <w:r w:rsidRPr="00CC066D">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70EE4"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o:allowincell="f" filled="f" stroked="f">
                <v:textbox>
                  <w:txbxContent>
                    <w:p w14:paraId="229A81F2" w14:textId="77777777" w:rsidR="00574C9B" w:rsidRPr="00CC066D" w:rsidRDefault="00574C9B" w:rsidP="00574C9B">
                      <w:pPr>
                        <w:jc w:val="center"/>
                      </w:pPr>
                      <w:r w:rsidRPr="00CC066D">
                        <w:rPr>
                          <w:rFonts w:ascii="Arial" w:hAnsi="Arial"/>
                          <w:b/>
                          <w:sz w:val="48"/>
                        </w:rPr>
                        <w:t>EL</w:t>
                      </w:r>
                    </w:p>
                  </w:txbxContent>
                </v:textbox>
                <w10:wrap anchorx="margin" anchory="page"/>
              </v:shape>
            </w:pict>
          </mc:Fallback>
        </mc:AlternateContent>
      </w:r>
    </w:p>
    <w:p w14:paraId="6E963798" w14:textId="77777777" w:rsidR="00574C9B" w:rsidRPr="00CC066D" w:rsidRDefault="00574C9B" w:rsidP="00574C9B"/>
    <w:p w14:paraId="13DFAC78" w14:textId="77777777" w:rsidR="00574C9B" w:rsidRPr="00CC066D" w:rsidRDefault="00574C9B" w:rsidP="00574C9B">
      <w:pPr>
        <w:sectPr w:rsidR="00574C9B" w:rsidRPr="00CC066D" w:rsidSect="00C6634B">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CE5278" w:rsidRPr="00CC066D" w14:paraId="6EA97014" w14:textId="77777777">
        <w:tc>
          <w:tcPr>
            <w:tcW w:w="3085" w:type="dxa"/>
          </w:tcPr>
          <w:p w14:paraId="06E840F4" w14:textId="77777777" w:rsidR="00901B76" w:rsidRPr="00CC066D" w:rsidRDefault="00901B76" w:rsidP="00901B76">
            <w:pPr>
              <w:autoSpaceDE w:val="0"/>
              <w:autoSpaceDN w:val="0"/>
              <w:jc w:val="left"/>
              <w:rPr>
                <w:szCs w:val="20"/>
              </w:rPr>
            </w:pPr>
            <w:r w:rsidRPr="00CC066D">
              <w:lastRenderedPageBreak/>
              <w:t>Νομική βάση</w:t>
            </w:r>
          </w:p>
        </w:tc>
        <w:tc>
          <w:tcPr>
            <w:tcW w:w="6204" w:type="dxa"/>
            <w:vAlign w:val="bottom"/>
          </w:tcPr>
          <w:p w14:paraId="17107D73" w14:textId="77777777" w:rsidR="00901B76" w:rsidRPr="00CC066D" w:rsidRDefault="00901B76" w:rsidP="00901B76">
            <w:pPr>
              <w:autoSpaceDE w:val="0"/>
              <w:autoSpaceDN w:val="0"/>
              <w:jc w:val="left"/>
            </w:pPr>
            <w:r w:rsidRPr="00CC066D">
              <w:t>Άρθρο 52 παράγραφος 4 του Εσωτερικού Κανονισμού</w:t>
            </w:r>
          </w:p>
        </w:tc>
      </w:tr>
      <w:tr w:rsidR="00CE5278" w:rsidRPr="00CC066D" w14:paraId="2ECD5D6D" w14:textId="77777777">
        <w:tc>
          <w:tcPr>
            <w:tcW w:w="3085" w:type="dxa"/>
          </w:tcPr>
          <w:p w14:paraId="753D9E28" w14:textId="77777777" w:rsidR="00901B76" w:rsidRPr="00CC066D" w:rsidRDefault="00901B76" w:rsidP="00901B76">
            <w:pPr>
              <w:autoSpaceDE w:val="0"/>
              <w:autoSpaceDN w:val="0"/>
              <w:jc w:val="left"/>
            </w:pPr>
            <w:r w:rsidRPr="00CC066D">
              <w:t>Έγκριση από την Ολομέλεια</w:t>
            </w:r>
          </w:p>
        </w:tc>
        <w:tc>
          <w:tcPr>
            <w:tcW w:w="6204" w:type="dxa"/>
            <w:vAlign w:val="bottom"/>
          </w:tcPr>
          <w:p w14:paraId="57E95E24" w14:textId="77777777" w:rsidR="00901B76" w:rsidRPr="00CC066D" w:rsidRDefault="005127DA" w:rsidP="00901B76">
            <w:pPr>
              <w:autoSpaceDE w:val="0"/>
              <w:autoSpaceDN w:val="0"/>
              <w:jc w:val="left"/>
            </w:pPr>
            <w:r w:rsidRPr="00CC066D">
              <w:t>11/7/2024</w:t>
            </w:r>
          </w:p>
        </w:tc>
      </w:tr>
      <w:tr w:rsidR="00CE5278" w:rsidRPr="00CC066D" w14:paraId="1EE977EA" w14:textId="77777777">
        <w:tc>
          <w:tcPr>
            <w:tcW w:w="3085" w:type="dxa"/>
          </w:tcPr>
          <w:p w14:paraId="1785E9FA" w14:textId="77777777" w:rsidR="00901B76" w:rsidRPr="00CC066D" w:rsidRDefault="00901B76" w:rsidP="00901B76">
            <w:pPr>
              <w:autoSpaceDE w:val="0"/>
              <w:autoSpaceDN w:val="0"/>
              <w:jc w:val="left"/>
            </w:pPr>
            <w:r w:rsidRPr="00CC066D">
              <w:t>Σύνοδος ολομέλειας αριθ.</w:t>
            </w:r>
          </w:p>
        </w:tc>
        <w:tc>
          <w:tcPr>
            <w:tcW w:w="6204" w:type="dxa"/>
            <w:vAlign w:val="bottom"/>
          </w:tcPr>
          <w:p w14:paraId="076DEB53" w14:textId="77777777" w:rsidR="00901B76" w:rsidRPr="00CC066D" w:rsidRDefault="005127DA" w:rsidP="00901B76">
            <w:pPr>
              <w:autoSpaceDE w:val="0"/>
              <w:autoSpaceDN w:val="0"/>
              <w:jc w:val="left"/>
            </w:pPr>
            <w:r w:rsidRPr="00CC066D">
              <w:t>589</w:t>
            </w:r>
          </w:p>
        </w:tc>
      </w:tr>
      <w:tr w:rsidR="00CE5278" w:rsidRPr="00CC066D" w14:paraId="3DDCC3E6" w14:textId="77777777">
        <w:tc>
          <w:tcPr>
            <w:tcW w:w="3085" w:type="dxa"/>
          </w:tcPr>
          <w:p w14:paraId="7DAA1EA6" w14:textId="77777777" w:rsidR="00901B76" w:rsidRPr="00CC066D" w:rsidRDefault="00901B76" w:rsidP="00901B76">
            <w:pPr>
              <w:autoSpaceDE w:val="0"/>
              <w:autoSpaceDN w:val="0"/>
              <w:jc w:val="left"/>
            </w:pPr>
            <w:r w:rsidRPr="00CC066D">
              <w:t>Αποτέλεσμα της ψηφοφορίας</w:t>
            </w:r>
            <w:r w:rsidRPr="00CC066D">
              <w:br/>
              <w:t>(υπέρ/κατά/αποχές)</w:t>
            </w:r>
          </w:p>
        </w:tc>
        <w:tc>
          <w:tcPr>
            <w:tcW w:w="6204" w:type="dxa"/>
            <w:vAlign w:val="bottom"/>
          </w:tcPr>
          <w:p w14:paraId="0266D3EC" w14:textId="77777777" w:rsidR="00901B76" w:rsidRPr="00CC066D" w:rsidRDefault="00AF5F43" w:rsidP="00901B76">
            <w:pPr>
              <w:autoSpaceDE w:val="0"/>
              <w:autoSpaceDN w:val="0"/>
              <w:jc w:val="left"/>
            </w:pPr>
            <w:r w:rsidRPr="00CC066D">
              <w:t>159/2/07</w:t>
            </w:r>
          </w:p>
        </w:tc>
      </w:tr>
    </w:tbl>
    <w:p w14:paraId="59542D1E" w14:textId="77777777" w:rsidR="00AC5114" w:rsidRPr="00CC066D" w:rsidRDefault="00AC5114" w:rsidP="00574C9B"/>
    <w:p w14:paraId="0D53AB39" w14:textId="77777777" w:rsidR="00AC5114" w:rsidRPr="00CC066D" w:rsidRDefault="00AC5114" w:rsidP="00574C9B">
      <w:pPr>
        <w:sectPr w:rsidR="00AC5114" w:rsidRPr="00CC066D" w:rsidSect="00C6634B">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14:paraId="5DDC5C95" w14:textId="77777777" w:rsidR="00A25592" w:rsidRPr="00CC066D" w:rsidRDefault="00A25592" w:rsidP="00A25592">
      <w:pPr>
        <w:pStyle w:val="Heading1"/>
      </w:pPr>
      <w:r w:rsidRPr="00CC066D">
        <w:lastRenderedPageBreak/>
        <w:t>Λίγο πριν από την έναρξη της νέας θητείας της Ευρωπαϊκής Επιτροπής, εμείς, η Ευρωπαϊκή Οικονομική και Κοινωνική Επιτροπή, η οποία εκπροσωπεί τις οργανώσεις της κοινωνίας των πολιτών, καλούμε τα κράτη μέλη της Ευρωπαϊκής Ένωσης και τους ηγέτες τους, τα ευρωπαϊκά θεσμικά όργανα και τους πολίτες της ΕΕ, να διαφυλάξουν και να προστατεύσουν την οικονομική, κοινωνική και εδαφική συνοχή της ΕΕ σύμφωνα με το άρθρο 174 της ΣΛΕΕ.</w:t>
      </w:r>
    </w:p>
    <w:p w14:paraId="69D8A6C7" w14:textId="77777777" w:rsidR="00A25592" w:rsidRPr="00CC066D" w:rsidRDefault="00A25592" w:rsidP="00CC066D"/>
    <w:p w14:paraId="37831AA7" w14:textId="77777777" w:rsidR="00A25592" w:rsidRPr="00CC066D" w:rsidRDefault="00A25592" w:rsidP="00A25592">
      <w:pPr>
        <w:pStyle w:val="Heading1"/>
      </w:pPr>
      <w:r w:rsidRPr="00CC066D">
        <w:t xml:space="preserve">Υπογραμμίζουμε μετ’ επιτάσεως ότι η θεμελιώδης αρχή «κανείς στο περιθώριο», η οποία διέπει την πολιτική συνοχής, παραμένει αταλάντευτη και σε ισχύ, και ότι οι εταίροι της κοινωνίας των πολιτών είναι διατεθειμένοι να συνεχίσουν να εργάζονται για την εφαρμογή της αρχής αυτής, μέσω μιας ισχυρής </w:t>
      </w:r>
      <w:proofErr w:type="spellStart"/>
      <w:r w:rsidRPr="00CC066D">
        <w:t>ενωσιακής</w:t>
      </w:r>
      <w:proofErr w:type="spellEnd"/>
      <w:r w:rsidRPr="00CC066D">
        <w:t xml:space="preserve"> πολιτικής επενδύσεων. </w:t>
      </w:r>
    </w:p>
    <w:p w14:paraId="3BA243E6" w14:textId="77777777" w:rsidR="00A25592" w:rsidRPr="00CC066D" w:rsidRDefault="00A25592" w:rsidP="00A25592">
      <w:pPr>
        <w:ind w:left="567" w:hanging="567"/>
      </w:pPr>
    </w:p>
    <w:p w14:paraId="5B13901E" w14:textId="77777777" w:rsidR="00A25592" w:rsidRPr="00CC066D" w:rsidRDefault="00A25592" w:rsidP="00A25592">
      <w:pPr>
        <w:pStyle w:val="Heading1"/>
      </w:pPr>
      <w:r w:rsidRPr="00CC066D">
        <w:t xml:space="preserve">Υπογραμμίζουμε ότι η ανισότητα ευκαιριών μπορεί να είναι επιζήμια για τη μακροπρόθεσμη ανάπτυξη και ανταγωνιστικότητα σε περιφερειακό, εθνικό και </w:t>
      </w:r>
      <w:proofErr w:type="spellStart"/>
      <w:r w:rsidRPr="00CC066D">
        <w:t>ενωσιακό</w:t>
      </w:r>
      <w:proofErr w:type="spellEnd"/>
      <w:r w:rsidRPr="00CC066D">
        <w:t xml:space="preserve"> επίπεδο. Ως εκ τούτου, η πολιτική συνοχής πρέπει να είναι πιο διαφοροποιημένη και ευέλικτη, και παράλληλα αξιόπιστη, σταθερή και σαφής, προκειμένου να είναι σε θέση να δίνει μεγαλύτερη προσοχή στους ανθρώπους, ιδίως στους πλέον ευάλωτους, και να αντιμετωπίζει καλύτερα την ανισότητα ευκαιριών που αποτελεί πρόβλημα για πολλά άτομα.</w:t>
      </w:r>
    </w:p>
    <w:p w14:paraId="188CA644" w14:textId="77777777" w:rsidR="00A25592" w:rsidRPr="00CC066D" w:rsidRDefault="00A25592" w:rsidP="00A25592">
      <w:pPr>
        <w:ind w:left="567" w:hanging="567"/>
      </w:pPr>
    </w:p>
    <w:p w14:paraId="66D35099" w14:textId="77777777" w:rsidR="00A25592" w:rsidRPr="00CC066D" w:rsidRDefault="00A25592" w:rsidP="00A25592">
      <w:pPr>
        <w:pStyle w:val="Heading1"/>
      </w:pPr>
      <w:r w:rsidRPr="00CC066D">
        <w:t xml:space="preserve">Τηρούμε κριτική στάση όσον αφορά την κατάργηση της θέσης επιτρόπου αρμοδίου για το χαρτοφυλάκιο της πολιτικής συνοχής. </w:t>
      </w:r>
    </w:p>
    <w:p w14:paraId="53C7EBE0" w14:textId="77777777" w:rsidR="00A25592" w:rsidRPr="00CC066D" w:rsidRDefault="00A25592" w:rsidP="00CC066D"/>
    <w:p w14:paraId="37B0D89A" w14:textId="77777777" w:rsidR="00A25592" w:rsidRPr="00CC066D" w:rsidRDefault="00A25592" w:rsidP="00A25592">
      <w:pPr>
        <w:pStyle w:val="Heading1"/>
      </w:pPr>
      <w:r w:rsidRPr="00CC066D">
        <w:t>Διαφωνούμε με τις περικοπές στην πολιτική συνοχής και τον μετασχηματισμό της σε ένα μέσο για την αντιμετώπιση κρίσεων έκτακτης ανάγκης.</w:t>
      </w:r>
    </w:p>
    <w:p w14:paraId="167258D3" w14:textId="77777777" w:rsidR="00A25592" w:rsidRPr="00CC066D" w:rsidRDefault="00A25592" w:rsidP="00A25592">
      <w:pPr>
        <w:ind w:left="567" w:hanging="567"/>
      </w:pPr>
    </w:p>
    <w:p w14:paraId="3BC65811" w14:textId="77777777" w:rsidR="00A25592" w:rsidRPr="00CC066D" w:rsidRDefault="00A25592" w:rsidP="00A25592">
      <w:pPr>
        <w:pStyle w:val="Heading1"/>
      </w:pPr>
      <w:r w:rsidRPr="00CC066D">
        <w:t xml:space="preserve">Απορρίπτουμε την ιδέα της μετατροπής της πολιτικής συνοχής σε μέσο παρόμοιο με τον μηχανισμό ανάκαμψης και ανθεκτικότητας (ΜΑΑ) στο οποίο η διαρθρωτική συμμετοχή των ενδιαφερόμενων μερών, η επιμερισμένη διαχείριση και η </w:t>
      </w:r>
      <w:proofErr w:type="spellStart"/>
      <w:r w:rsidRPr="00CC066D">
        <w:t>πολυεπίπεδη</w:t>
      </w:r>
      <w:proofErr w:type="spellEnd"/>
      <w:r w:rsidRPr="00CC066D">
        <w:t xml:space="preserve"> διακυβέρνηση θα λαμβάνονται ελάχιστα έως καθόλου υπόψη. </w:t>
      </w:r>
    </w:p>
    <w:p w14:paraId="432D4D9B" w14:textId="77777777" w:rsidR="00A25592" w:rsidRPr="00CC066D" w:rsidRDefault="00A25592" w:rsidP="00A25592">
      <w:pPr>
        <w:ind w:left="567" w:hanging="567"/>
      </w:pPr>
    </w:p>
    <w:p w14:paraId="3C070D73" w14:textId="77777777" w:rsidR="00A25592" w:rsidRPr="00CC066D" w:rsidRDefault="00A25592" w:rsidP="00A25592">
      <w:pPr>
        <w:pStyle w:val="Heading1"/>
      </w:pPr>
      <w:r w:rsidRPr="00CC066D">
        <w:t>Τασσόμαστε υπέρ της αρχής της εταιρικής σχέσης και σαφών κανόνων για τη συμμετοχή της κοινωνίας των πολιτών στην επιλογή, τη διακυβέρνηση και την παρακολούθηση των χρηματοδοτούμενων από την ΕΕ δράσεων.</w:t>
      </w:r>
    </w:p>
    <w:p w14:paraId="759BBBF5" w14:textId="77777777" w:rsidR="00A25592" w:rsidRPr="00CC066D" w:rsidRDefault="00A25592" w:rsidP="00A25592">
      <w:pPr>
        <w:ind w:left="567" w:hanging="567"/>
        <w:rPr>
          <w:highlight w:val="yellow"/>
        </w:rPr>
      </w:pPr>
    </w:p>
    <w:p w14:paraId="72869545" w14:textId="77777777" w:rsidR="00A25592" w:rsidRPr="00CC066D" w:rsidRDefault="00A25592" w:rsidP="00A25592">
      <w:pPr>
        <w:pStyle w:val="Heading1"/>
      </w:pPr>
      <w:r w:rsidRPr="00CC066D">
        <w:t>Ζητούμε ρητή αναφορά στη συμμετοχή της κοινωνίας των πολιτών στον επόμενο κανονισμό περί κοινών διατάξεων (ΚΚΔ), ο οποίος διέπει τη χρήση των ταμείων συνοχής, καθώς και άλλων κονδυλίων της ΕΕ μετά το 2027 με τον ίδιο τρόπο όπως και για την περίοδο 2021-2027.</w:t>
      </w:r>
    </w:p>
    <w:p w14:paraId="30196E3B" w14:textId="77777777" w:rsidR="00A25592" w:rsidRPr="00CC066D" w:rsidRDefault="00A25592" w:rsidP="00A25592">
      <w:pPr>
        <w:ind w:left="567" w:hanging="567"/>
      </w:pPr>
    </w:p>
    <w:p w14:paraId="5AA69224" w14:textId="77777777" w:rsidR="00A25592" w:rsidRPr="00CC066D" w:rsidRDefault="00A25592" w:rsidP="00A25592">
      <w:pPr>
        <w:pStyle w:val="Heading1"/>
      </w:pPr>
      <w:r w:rsidRPr="00CC066D">
        <w:t xml:space="preserve">Ζητούμε μια </w:t>
      </w:r>
      <w:proofErr w:type="spellStart"/>
      <w:r w:rsidRPr="00CC066D">
        <w:t>τοποκεντρική</w:t>
      </w:r>
      <w:proofErr w:type="spellEnd"/>
      <w:r w:rsidRPr="00CC066D">
        <w:t xml:space="preserve"> και ανθρωποκεντρική πολιτική συνοχής.</w:t>
      </w:r>
    </w:p>
    <w:p w14:paraId="43415E92" w14:textId="77777777" w:rsidR="00A25592" w:rsidRPr="00CC066D" w:rsidRDefault="00A25592" w:rsidP="00A25592">
      <w:pPr>
        <w:ind w:left="567" w:hanging="567"/>
      </w:pPr>
    </w:p>
    <w:p w14:paraId="3DD5EBAB" w14:textId="77777777" w:rsidR="00A25592" w:rsidRPr="00CC066D" w:rsidRDefault="00A25592" w:rsidP="00A25592">
      <w:pPr>
        <w:pStyle w:val="Heading2"/>
      </w:pPr>
      <w:r w:rsidRPr="00CC066D">
        <w:t>«</w:t>
      </w:r>
      <w:proofErr w:type="spellStart"/>
      <w:r w:rsidRPr="00CC066D">
        <w:t>Τοποκεντρική</w:t>
      </w:r>
      <w:proofErr w:type="spellEnd"/>
      <w:r w:rsidRPr="00CC066D">
        <w:t>» διότι τα εδαφικά χαρακτηριστικά πρέπει να γίνονται σεβαστά και να λαμβάνονται πλήρως υπόψη με βάση τις εκτιμήσεις εδαφικού αντικτύπου.</w:t>
      </w:r>
    </w:p>
    <w:p w14:paraId="52BED6C9" w14:textId="77777777" w:rsidR="00A25592" w:rsidRPr="00CC066D" w:rsidRDefault="00A25592" w:rsidP="00A25592">
      <w:pPr>
        <w:ind w:left="567" w:hanging="567"/>
      </w:pPr>
    </w:p>
    <w:p w14:paraId="7E42CAC9" w14:textId="77777777" w:rsidR="00A25592" w:rsidRPr="00CC066D" w:rsidRDefault="00A25592" w:rsidP="00A25592">
      <w:pPr>
        <w:pStyle w:val="Heading2"/>
      </w:pPr>
      <w:r w:rsidRPr="00CC066D">
        <w:t xml:space="preserve">Για την επίτευξη των επιθυμητών αποτελεσμάτων χρειάζεται μια ανθρωποκεντρική προσέγγιση. Η εν λόγω προσέγγιση θα πρέπει να σέβεται πλήρως την αρχή της εταιρικής σχέσης και να έχει ως ακρογωνιαίους λίθους την </w:t>
      </w:r>
      <w:proofErr w:type="spellStart"/>
      <w:r w:rsidRPr="00CC066D">
        <w:t>πολυεπίπεδη</w:t>
      </w:r>
      <w:proofErr w:type="spellEnd"/>
      <w:r w:rsidRPr="00CC066D">
        <w:t xml:space="preserve"> διακυβέρνηση, τις κοινές εταιρικές σχέσεις και τις προσεγγίσεις από τη βάση προς την κορυφή.</w:t>
      </w:r>
    </w:p>
    <w:p w14:paraId="636A8531" w14:textId="77777777" w:rsidR="00A25592" w:rsidRPr="00CC066D" w:rsidRDefault="00A25592" w:rsidP="00A25592">
      <w:pPr>
        <w:ind w:left="567" w:hanging="567"/>
      </w:pPr>
    </w:p>
    <w:p w14:paraId="08849287" w14:textId="77777777" w:rsidR="00A25592" w:rsidRPr="00CC066D" w:rsidRDefault="00A25592" w:rsidP="009B091D">
      <w:pPr>
        <w:pStyle w:val="Heading1"/>
      </w:pPr>
      <w:r w:rsidRPr="00CC066D">
        <w:lastRenderedPageBreak/>
        <w:t xml:space="preserve">Ζητούμε να δοθεί νέα ώθηση στην πολιτική συνοχής. Η ΕΟΚΕ φρονεί ότι το φάσμα των μέσων και των προσεγγίσεων θα πρέπει να διευρυνθεί, να εκσυγχρονιστεί ή να αναθεωρηθεί, ώστε να </w:t>
      </w:r>
      <w:proofErr w:type="spellStart"/>
      <w:r w:rsidRPr="00CC066D">
        <w:t>οικοδομηθεί</w:t>
      </w:r>
      <w:proofErr w:type="spellEnd"/>
      <w:r w:rsidRPr="00CC066D">
        <w:t xml:space="preserve"> μια στιβαρή, αποτελεσματική, ευέλικτη και ανανεωμένη πολιτική συνοχής, που θα εστιάζεται περισσότερο στην ικανότητα, στους διαπεριφερειακούς δεσμούς, στην αποδοτικότητα των αποτελεσμάτων και στις ευκαιρίες για τους δικαιούχους, πέραν των απλών επενδύσεων. Αυτό προϋποθέτει τα εξής:</w:t>
      </w:r>
    </w:p>
    <w:p w14:paraId="60F603D5" w14:textId="77777777" w:rsidR="00A25592" w:rsidRPr="00CC066D" w:rsidRDefault="00A25592" w:rsidP="00A25592">
      <w:pPr>
        <w:ind w:left="567" w:hanging="567"/>
      </w:pPr>
    </w:p>
    <w:p w14:paraId="58FDE475" w14:textId="77777777" w:rsidR="00A25592" w:rsidRPr="00CC066D" w:rsidRDefault="00A25592" w:rsidP="00A25592">
      <w:pPr>
        <w:pStyle w:val="Heading2"/>
      </w:pPr>
      <w:r w:rsidRPr="00CC066D">
        <w:t>Αντιμετώπιση των κύριων διαρθρωτικών προκλήσεων της ΕΕ: χαμηλή ανάπτυξη, μακροπρόθεσμη οικονομική στασιμότητα, έλλειψη ίσων ευκαιριών σε όλες τις περιφέρειες και ανισότητες μεταξύ και εντός των περιφερειών και στην κοινωνία.</w:t>
      </w:r>
    </w:p>
    <w:p w14:paraId="1F3253CB" w14:textId="77777777" w:rsidR="00A25592" w:rsidRPr="00CC066D" w:rsidRDefault="00A25592" w:rsidP="00CC066D"/>
    <w:p w14:paraId="68C54CD0" w14:textId="77777777" w:rsidR="00A25592" w:rsidRPr="00CC066D" w:rsidRDefault="00A25592" w:rsidP="00A25592">
      <w:pPr>
        <w:pStyle w:val="Heading2"/>
      </w:pPr>
      <w:r w:rsidRPr="00CC066D">
        <w:t xml:space="preserve">Απόδοση μεγαλύτερης βαρύτητας στις στρατηγικές εδαφικής πολιτικής, όπως τις ολοκληρωμένες εδαφικές επενδύσεις και την τοπική ανάπτυξη με πρωτοβουλία των τοπικών κοινοτήτων. Συνεπώς, είναι αναγκαίο να ενισχυθούν οι ικανότητες διαχείρισης κεφαλαίων των τοπικών, αστικών και εδαφικών αρχών, χωρίς να </w:t>
      </w:r>
      <w:proofErr w:type="spellStart"/>
      <w:r w:rsidRPr="00CC066D">
        <w:t>παραμελείται</w:t>
      </w:r>
      <w:proofErr w:type="spellEnd"/>
      <w:r w:rsidRPr="00CC066D">
        <w:t xml:space="preserve"> η συνέπεια.</w:t>
      </w:r>
    </w:p>
    <w:p w14:paraId="7420BEFF" w14:textId="77777777" w:rsidR="00A25592" w:rsidRPr="00CC066D" w:rsidRDefault="00A25592" w:rsidP="00A25592">
      <w:pPr>
        <w:ind w:left="567" w:hanging="567"/>
      </w:pPr>
    </w:p>
    <w:p w14:paraId="274C2B02" w14:textId="77777777" w:rsidR="00A25592" w:rsidRPr="00CC066D" w:rsidRDefault="00A25592" w:rsidP="00A25592">
      <w:pPr>
        <w:pStyle w:val="Heading2"/>
      </w:pPr>
      <w:r w:rsidRPr="00CC066D">
        <w:t xml:space="preserve">Απόδοση ιδιαίτερης έμφασης στις κατηγορίες των ατόμων με τα χαμηλότερα ποσοστά απασχόλησης (γυναίκες, νέοι, άτομα με αναπηρία, μετανάστες, άτομα με χαμηλό μορφωτικό επίπεδο), για τις οποίες απαιτούνται ειδικά επιτόπια προγράμματα κατάρτισης, </w:t>
      </w:r>
      <w:proofErr w:type="spellStart"/>
      <w:r w:rsidRPr="00CC066D">
        <w:t>επανειδίκευσης</w:t>
      </w:r>
      <w:proofErr w:type="spellEnd"/>
      <w:r w:rsidRPr="00CC066D">
        <w:t>, αναβάθμισης δεξιοτήτων και στήριξης.</w:t>
      </w:r>
    </w:p>
    <w:p w14:paraId="301AB4A2" w14:textId="77777777" w:rsidR="00A25592" w:rsidRPr="00CC066D" w:rsidRDefault="00A25592" w:rsidP="00A25592">
      <w:pPr>
        <w:ind w:left="567" w:hanging="567"/>
      </w:pPr>
    </w:p>
    <w:p w14:paraId="0B907A94" w14:textId="77777777" w:rsidR="00A25592" w:rsidRPr="00CC066D" w:rsidRDefault="00A25592" w:rsidP="00A25592">
      <w:pPr>
        <w:pStyle w:val="Heading2"/>
      </w:pPr>
      <w:r w:rsidRPr="00CC066D">
        <w:t>Συνέχιση της εξειδίκευσης και της διαφοροποίησης των μέσων, συμπεριλαμβανομένων των χρηματοδοτικών μέσων, ώστε η πολιτική συνοχής να μπορεί να εφαρμόζεται σε συγκεκριμένες ομάδες και τομείς ευάλωτων ατόμων και σε συγκεκριμένες περιφέρειες, όπου οι γενικές λύσεις που σχετίζονται με την απασχόληση δεν αποτελούν λύση για την ένταξη των ατόμων αυτών στην αγορά εργασίας.</w:t>
      </w:r>
    </w:p>
    <w:p w14:paraId="40BB3D6F" w14:textId="77777777" w:rsidR="00A25592" w:rsidRPr="00CC066D" w:rsidRDefault="00A25592" w:rsidP="00A25592"/>
    <w:p w14:paraId="6A30919B" w14:textId="77777777" w:rsidR="00A25592" w:rsidRPr="00CC066D" w:rsidRDefault="00A25592" w:rsidP="00A25592">
      <w:pPr>
        <w:pStyle w:val="Heading2"/>
      </w:pPr>
      <w:r w:rsidRPr="00CC066D">
        <w:t>Στήριξη των επενδύσεων σε κοινωνικές υποδομές για την αποτελεσματική αντιμετώπιση των σημαντικών δημογραφικών προκλήσεων που αντιμετωπίζει η ΕΕ. Αυτό είναι ακόμη πιο αναγκαίο στις περιφέρειες που πλήττονται από συρρίκνωση του εργατικού δυναμικού και χαμηλό ποσοστό αποφοίτων τριτοβάθμιας εκπαίδευσης, καθώς και στις περιφέρειες που πλήττονται από τη φυγή νέων ανθρώπων.</w:t>
      </w:r>
    </w:p>
    <w:p w14:paraId="644ECFAF" w14:textId="77777777" w:rsidR="00A25592" w:rsidRPr="00CC066D" w:rsidRDefault="00A25592" w:rsidP="00A25592">
      <w:pPr>
        <w:ind w:left="567" w:hanging="567"/>
      </w:pPr>
    </w:p>
    <w:p w14:paraId="3E824763" w14:textId="77777777" w:rsidR="00A25592" w:rsidRPr="00CC066D" w:rsidRDefault="00A25592" w:rsidP="00A25592">
      <w:pPr>
        <w:pStyle w:val="Heading2"/>
      </w:pPr>
      <w:r w:rsidRPr="00CC066D">
        <w:t>Αύξηση του δυναμικού των διασυνοριακών αγορών εργασίας, οι οποίες δεν είναι επαρκώς ανεπτυγμένες λόγω νομικών και διοικητικών φραγμών. Για τον σκοπό αυτό, είναι σημαντικό να ενισχυθεί η διασυνοριακή και διαπεριφερειακή συνεργασία, ιδίως για την ανάπτυξη υποδομών και τη στήριξη των δραστηριοτήτων των φορέων της κοινωνικής οικονομίας.</w:t>
      </w:r>
    </w:p>
    <w:p w14:paraId="26F98080" w14:textId="77777777" w:rsidR="00A25592" w:rsidRPr="00CC066D" w:rsidRDefault="00A25592" w:rsidP="00A25592">
      <w:pPr>
        <w:ind w:left="567" w:hanging="567"/>
      </w:pPr>
    </w:p>
    <w:p w14:paraId="4CC378AE" w14:textId="77777777" w:rsidR="00A25592" w:rsidRPr="00CC066D" w:rsidRDefault="00A25592" w:rsidP="00A25592">
      <w:pPr>
        <w:pStyle w:val="Heading2"/>
      </w:pPr>
      <w:r w:rsidRPr="00CC066D">
        <w:t>Συνεχιζόμενη προστασία των μικρομεσαίων επιχειρήσεων και της βιωσιμότητάς τους. Αυτό προϋποθέτει τη χρήση των υφιστάμενων τυποποιημένων ευρωπαϊκών μέσων ―όπως το Ευρωπαϊκό Κοινωνικό Ταμείο, το Ευρωπαϊκό Ταμείο Περιφερειακής Ανάπτυξης, το Ταμείο Συνοχής και ο Μηχανισμός Δίκαιης Μετάβασης― με καινοτόμο αλλά απλό τρόπο, ώστε οι μικρομεσαίες επιχειρήσεις να μπορούν να έχουν εύκολα πρόσβαση σε χρηματοδότηση και να λαμβάνουν ευνοϊκές πιστωτικές συνθήκες μακροπρόθεσμα.</w:t>
      </w:r>
    </w:p>
    <w:p w14:paraId="01F97E4F" w14:textId="77777777" w:rsidR="00A25592" w:rsidRPr="00CC066D" w:rsidRDefault="00A25592" w:rsidP="00A25592">
      <w:pPr>
        <w:ind w:left="567" w:hanging="567"/>
      </w:pPr>
    </w:p>
    <w:p w14:paraId="5B6F6108" w14:textId="77777777" w:rsidR="00A25592" w:rsidRPr="00CC066D" w:rsidRDefault="00A25592" w:rsidP="00A25592">
      <w:pPr>
        <w:pStyle w:val="Heading2"/>
      </w:pPr>
      <w:r w:rsidRPr="00CC066D">
        <w:t xml:space="preserve">Ενίσχυση των συνεργειών στο πλαίσιο ολόκληρου του Μηχανισμού Δίκαιης Μετάβασης. Είμαστε πεπεισμένοι ότι η πολιτική συνοχής θα πρέπει να παραμείνει η βασική επενδυτική </w:t>
      </w:r>
      <w:r w:rsidRPr="00CC066D">
        <w:lastRenderedPageBreak/>
        <w:t>πολιτική της ΕΕ για τη στήριξη της ευρωπαϊκής περιφερειακής πολιτικής όσον αφορά την προσαρμογή στους κλιματικούς στόχους. Η αρχή της «μη πρόκλησης σημαντικής βλάβης» θα πρέπει να διασφαλίζει ότι οι επενδύσεις θα σέβονται πλήρως τους στόχους της Πράσινης Συμφωνίας.</w:t>
      </w:r>
    </w:p>
    <w:p w14:paraId="5AEA62EC" w14:textId="77777777" w:rsidR="00A25592" w:rsidRPr="00CC066D" w:rsidRDefault="00A25592" w:rsidP="00A25592">
      <w:pPr>
        <w:ind w:left="567" w:hanging="567"/>
      </w:pPr>
    </w:p>
    <w:p w14:paraId="6CE1E19B" w14:textId="77777777" w:rsidR="00A25592" w:rsidRPr="00CC066D" w:rsidRDefault="00A25592" w:rsidP="00A25592">
      <w:pPr>
        <w:pStyle w:val="Heading2"/>
      </w:pPr>
      <w:r w:rsidRPr="00CC066D">
        <w:t>Περαιτέρω εξέταση της χρηματοδότησης των μεγάλων εταιρειών ως σημαντικού παράγοντα σύγκλισης, ιδίως όσον αφορά τις στρατηγικές τεχνολογίες μέσω του νέου μέσου STEP (πλατφόρμα στρατηγικών τεχνολογιών για την Ευρώπη»).</w:t>
      </w:r>
    </w:p>
    <w:p w14:paraId="3098EA66" w14:textId="77777777" w:rsidR="00A25592" w:rsidRPr="00CC066D" w:rsidRDefault="00A25592" w:rsidP="00A25592">
      <w:pPr>
        <w:ind w:left="567" w:hanging="567"/>
      </w:pPr>
    </w:p>
    <w:p w14:paraId="756524E4" w14:textId="77777777" w:rsidR="00A25592" w:rsidRPr="00CC066D" w:rsidRDefault="00A25592" w:rsidP="00A25592">
      <w:pPr>
        <w:pStyle w:val="Heading2"/>
      </w:pPr>
      <w:r w:rsidRPr="00CC066D">
        <w:t>Δημιουργία νέων ειδών οικονομικών προοπτικών για τις λιγότερο ανεπτυγμένες, τις απόκεντρες, τις αραιοκατοικημένες και τις αγροτικές περιοχές, τα νησιά της ΕΕ και τις εξόχως απόκεντρες περιφέρειες. Είναι επίσης αναγκαίο να αντιμετωπιστεί το χάσμα μεταξύ αγροτικών και αστικών περιοχών και κέντρων των πόλεων, με παράλληλη ενίσχυση των μεταξύ τους δεσμών.</w:t>
      </w:r>
    </w:p>
    <w:p w14:paraId="444536DD" w14:textId="77777777" w:rsidR="00A25592" w:rsidRPr="00CC066D" w:rsidRDefault="00A25592" w:rsidP="00A25592">
      <w:pPr>
        <w:ind w:left="567" w:hanging="567"/>
      </w:pPr>
    </w:p>
    <w:p w14:paraId="2E5695D3" w14:textId="77777777" w:rsidR="00A25592" w:rsidRPr="00CC066D" w:rsidRDefault="00A25592" w:rsidP="00A25592">
      <w:pPr>
        <w:pStyle w:val="Heading2"/>
      </w:pPr>
      <w:r w:rsidRPr="00CC066D">
        <w:t>Προώθηση πρωτοβουλιών για τον προσεκτικό προσδιορισμό και την κάλυψη των ιδιαίτερων αναγκών των περιφερειών και των περιοχών όπου παρατηρούνται αναπτυξιακά τέλματα και την παροχή σε αυτές συνδρομής προκειμένου να αντιμετωπίσουν τις σχετικές προκλήσεις.</w:t>
      </w:r>
    </w:p>
    <w:p w14:paraId="4ABE9BD0" w14:textId="77777777" w:rsidR="00A25592" w:rsidRPr="00CC066D" w:rsidRDefault="00A25592" w:rsidP="00A25592">
      <w:pPr>
        <w:ind w:left="567" w:hanging="567"/>
      </w:pPr>
    </w:p>
    <w:p w14:paraId="0D6C6471" w14:textId="77777777" w:rsidR="00A25592" w:rsidRPr="00CC066D" w:rsidRDefault="00A25592" w:rsidP="00A25592">
      <w:pPr>
        <w:pStyle w:val="Heading2"/>
      </w:pPr>
      <w:r w:rsidRPr="00CC066D">
        <w:t>Υιοθέτηση μιας πολιτικής συνοχής που να περιλαμβάνει καίρια στοιχεία όπως η επιμερισμένη διαχείριση, η περιφερειακή προσέγγιση, η προχρηματοδότηση και τα ποσοστά συγχρηματοδότησης. Οι επενδύσεις από μόνες τους δεν αρκούν. Κάθε περιφέρεια χρειάζεται στιβαρές δομές διακυβέρνησης και κατάλληλο μείγμα πολιτικών που να αξιοποιεί τις συνέργειες με όλα τα ενδιαφερόμενα μέρη. Χρειαζόμαστε μια προσέγγιση από τη βάση προς την κορυφή. Οι επενδύσεις θα πρέπει, ως εκ τούτου, να συνοδεύονται συχνά από εξατομικευμένες μεταρρυθμίσεις και ευνοϊκές για τους πολίτες πολιτικές.</w:t>
      </w:r>
    </w:p>
    <w:p w14:paraId="1255E96B" w14:textId="77777777" w:rsidR="00A25592" w:rsidRPr="00CC066D" w:rsidRDefault="00A25592" w:rsidP="00A25592">
      <w:pPr>
        <w:ind w:left="567" w:hanging="567"/>
      </w:pPr>
    </w:p>
    <w:p w14:paraId="04E8615A" w14:textId="77777777" w:rsidR="00A25592" w:rsidRPr="00CC066D" w:rsidRDefault="00A25592" w:rsidP="00A25592">
      <w:pPr>
        <w:pStyle w:val="Heading2"/>
      </w:pPr>
      <w:r w:rsidRPr="00CC066D">
        <w:t xml:space="preserve">Καλύτερη συμμετοχή της κοινωνίας των πολιτών και όλων των ενδιαφερόμενων μερών σε τοπικό επίπεδο, προκειμένου να ενισχυθεί η αποτελεσματικότητα της αρχής της εταιρικής σχέσης και της </w:t>
      </w:r>
      <w:proofErr w:type="spellStart"/>
      <w:r w:rsidRPr="00CC066D">
        <w:t>πολυεπίπεδης</w:t>
      </w:r>
      <w:proofErr w:type="spellEnd"/>
      <w:r w:rsidRPr="00CC066D">
        <w:t xml:space="preserve"> διακυβέρνησης στην πολιτική συνοχής. Αυτό μπορεί να συμβάλει στην αντιμετώπιση της πίεσης που ασκείται στη δημοκρατία μέσω της ενίσχυσης του ενστερνισμού των πολιτικών της ΕΕ.</w:t>
      </w:r>
    </w:p>
    <w:p w14:paraId="61EB6501" w14:textId="77777777" w:rsidR="00A25592" w:rsidRPr="00CC066D" w:rsidRDefault="00A25592" w:rsidP="00CC066D"/>
    <w:p w14:paraId="1E8EB0C1" w14:textId="77777777" w:rsidR="00A25592" w:rsidRPr="00CC066D" w:rsidRDefault="00A25592" w:rsidP="00A25592">
      <w:pPr>
        <w:pStyle w:val="Heading2"/>
      </w:pPr>
      <w:r w:rsidRPr="00CC066D">
        <w:t>Ενίσχυση της διοικητικής ικανότητας των διαφόρων επιπέδων διακυβέρνησης, των δικαιούχων και άλλων εθνικών, περιφερειακών και τοπικών φορέων, καθώς και παροχή πιο εξατομικευμένης τεχνικής υποστήριξης με σκοπό τη βελτίωση της εφαρμογής της πολιτικής στην πράξη.</w:t>
      </w:r>
    </w:p>
    <w:p w14:paraId="631FAA56" w14:textId="77777777" w:rsidR="00A25592" w:rsidRPr="00CC066D" w:rsidRDefault="00A25592" w:rsidP="00CC066D"/>
    <w:p w14:paraId="50D6975B" w14:textId="77777777" w:rsidR="00A25592" w:rsidRPr="00CC066D" w:rsidRDefault="00A25592" w:rsidP="00A25592">
      <w:pPr>
        <w:pStyle w:val="Heading2"/>
      </w:pPr>
      <w:r w:rsidRPr="00CC066D">
        <w:t>Εξέταση και υιοθέτηση των βέλτιστων πρακτικών, των αποτελεσματικών μέτρων πολιτικής και της ειδικής χρηματοδότησης που παρέχεται επί του παρόντος από τον ΜΑΑ ούτως ώστε να συνεχίσουν να λειτουργούν στο πλαίσιο της νέας πολιτικής για τη συνοχή. Πρέπει να διασφαλίσουμε ότι η χρήση των κονδυλίων του ΜΑΑ θα παραμείνει πλήρως συμβατή με την εφαρμογή της μελλοντικής πολιτικής συνοχής και ότι οι επενδύσεις και τα προγράμματα που έχουν ήδη δρομολογηθεί στο πλαίσιο του ΜΑΑ δεν θα ανασταλούν λόγω αλλαγών στη χρηματοδότησή του.</w:t>
      </w:r>
    </w:p>
    <w:p w14:paraId="53797066" w14:textId="77777777" w:rsidR="00A25592" w:rsidRPr="00CC066D" w:rsidRDefault="00A25592" w:rsidP="00CC066D"/>
    <w:p w14:paraId="74D9D9EF" w14:textId="77777777" w:rsidR="00A25592" w:rsidRPr="00CC066D" w:rsidRDefault="00A25592" w:rsidP="00A25592">
      <w:pPr>
        <w:pStyle w:val="Heading2"/>
      </w:pPr>
      <w:r w:rsidRPr="00CC066D">
        <w:t xml:space="preserve">Περαιτέρω ενσωμάτωση των στόχων της πολιτικής συνοχής στο Ευρωπαϊκό Εξάμηνο. </w:t>
      </w:r>
    </w:p>
    <w:p w14:paraId="648AA0B4" w14:textId="77777777" w:rsidR="00A25592" w:rsidRPr="00CC066D" w:rsidRDefault="00A25592" w:rsidP="00CC066D"/>
    <w:p w14:paraId="35441566" w14:textId="77777777" w:rsidR="00A25592" w:rsidRPr="00CC066D" w:rsidRDefault="00A25592" w:rsidP="00A25592">
      <w:pPr>
        <w:pStyle w:val="Heading2"/>
      </w:pPr>
      <w:r w:rsidRPr="00CC066D">
        <w:t>Έναν πιο φιλόδοξο συνολικό προϋπολογισμό του πολυετούς δημοσιονομικού πλαισίου (ΠΔΠ) προκειμένου να διασφαλιστεί επαρκής χρηματοδότηση για την πολιτική συνοχής, μεταξύ άλλων ενόψει της μελλοντικής ανάγκης για επενδύσεις της ΕΕ στον τομέα της άμυνας και ενόψει μιας Ευρωπαϊκής Ένωσης με περισσότερα από 27 κράτη μέλη. Οι επενδύσεις στην ΕΕ και στην οικονομική, κοινωνική και εδαφική συνοχή της, στον πλούτο και στην ανταγωνιστικότητά της δεν μπορούν να πραγματοποιηθούν μόνο με το 1 % του ΑΕΕ της ΕΕ.</w:t>
      </w:r>
    </w:p>
    <w:p w14:paraId="0FF5B523" w14:textId="77777777" w:rsidR="00A25592" w:rsidRPr="00CC066D" w:rsidRDefault="00A25592" w:rsidP="00CC066D"/>
    <w:p w14:paraId="6032B357" w14:textId="77777777" w:rsidR="00A25592" w:rsidRPr="00CC066D" w:rsidRDefault="00A25592" w:rsidP="00A25592">
      <w:pPr>
        <w:pStyle w:val="Heading2"/>
      </w:pPr>
      <w:r w:rsidRPr="00CC066D">
        <w:t>Επαρκή χρηματοδότηση για τις μελλοντικές διευρύνσεις της ΕΕ κατά την επόμενη περίοδο προγραμματισμού, προκειμένου να διασφαλιστεί η ομαλή ένταξη των μελλοντικών κρατών, χωρίς να τεθούν σε κίνδυνο οι επενδύσεις στις σημερινές αναπτυσσόμενες περιφέρειες.</w:t>
      </w:r>
    </w:p>
    <w:p w14:paraId="1416F038" w14:textId="77777777" w:rsidR="00A25592" w:rsidRPr="00CC066D" w:rsidRDefault="00A25592" w:rsidP="00CC066D"/>
    <w:p w14:paraId="4F0A3F21" w14:textId="77777777" w:rsidR="00A25592" w:rsidRPr="00CC066D" w:rsidRDefault="00A25592" w:rsidP="00A25592">
      <w:pPr>
        <w:pStyle w:val="Heading1"/>
        <w:keepNext/>
        <w:keepLines/>
        <w:rPr>
          <w:b/>
          <w:bCs/>
        </w:rPr>
      </w:pPr>
      <w:r w:rsidRPr="00CC066D">
        <w:rPr>
          <w:b/>
        </w:rPr>
        <w:t>Εμείς, ως εκπρόσωποι της κοινωνίας των πολιτών, θα κάνουμε ό,τι χρειάζεται για να διαφυλάξουμε τις βασικές αρχές της πολιτικής συνοχής και για να διασφαλίσουμε ότι αυτή θα παραμείνει ο συνδετικός ιστός που διατηρεί την Ευρώπη ενωμένη.</w:t>
      </w:r>
    </w:p>
    <w:p w14:paraId="5724A3F6" w14:textId="77777777" w:rsidR="00A25592" w:rsidRPr="00CC066D" w:rsidRDefault="00A25592" w:rsidP="00A25592">
      <w:pPr>
        <w:keepNext/>
        <w:keepLines/>
        <w:ind w:left="567" w:hanging="567"/>
      </w:pPr>
    </w:p>
    <w:p w14:paraId="33B2FF71" w14:textId="77777777" w:rsidR="00A25592" w:rsidRPr="00CC066D" w:rsidRDefault="00A25592" w:rsidP="00A25592">
      <w:pPr>
        <w:keepNext/>
        <w:keepLines/>
      </w:pPr>
      <w:r w:rsidRPr="00CC066D">
        <w:t>Βρυξέλλες, 11 Ιουλίου 2024.</w:t>
      </w:r>
    </w:p>
    <w:p w14:paraId="74FE5B2E" w14:textId="77777777" w:rsidR="00901B76" w:rsidRPr="00CC066D" w:rsidRDefault="00901B76" w:rsidP="00672B2A"/>
    <w:p w14:paraId="5CFCD857" w14:textId="77777777" w:rsidR="00901B76" w:rsidRPr="00CC066D" w:rsidRDefault="00901B76" w:rsidP="00901B76"/>
    <w:p w14:paraId="6B045958" w14:textId="77777777" w:rsidR="00901B76" w:rsidRPr="00CC066D" w:rsidRDefault="00901B76" w:rsidP="00901B76">
      <w:pPr>
        <w:rPr>
          <w:i/>
          <w:iCs/>
        </w:rPr>
      </w:pPr>
      <w:r w:rsidRPr="00CC066D">
        <w:rPr>
          <w:i/>
        </w:rPr>
        <w:t>Ο Πρόεδρος της Ευρωπαϊκής Οικονομικής και Κοινωνικής Επιτροπής</w:t>
      </w:r>
    </w:p>
    <w:p w14:paraId="20E479B6" w14:textId="77777777" w:rsidR="00901B76" w:rsidRPr="00CC066D" w:rsidRDefault="00F47BD2" w:rsidP="00901B76">
      <w:r w:rsidRPr="00CC066D">
        <w:t>Oliver RÖPKE</w:t>
      </w:r>
    </w:p>
    <w:p w14:paraId="781DEE97" w14:textId="77777777" w:rsidR="00F53370" w:rsidRPr="00CC066D" w:rsidRDefault="00901B76">
      <w:pPr>
        <w:jc w:val="center"/>
      </w:pPr>
      <w:r w:rsidRPr="00CC066D">
        <w:t>_____________</w:t>
      </w:r>
    </w:p>
    <w:sectPr w:rsidR="00F53370" w:rsidRPr="00CC066D" w:rsidSect="009B091D">
      <w:headerReference w:type="default" r:id="rId18"/>
      <w:footerReference w:type="default" r:id="rId19"/>
      <w:pgSz w:w="11907" w:h="16839" w:code="9"/>
      <w:pgMar w:top="1304" w:right="1418" w:bottom="1304"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D2363" w14:textId="77777777" w:rsidR="006E7A56" w:rsidRDefault="006E7A56" w:rsidP="00F53370">
      <w:pPr>
        <w:spacing w:line="240" w:lineRule="auto"/>
      </w:pPr>
      <w:r>
        <w:separator/>
      </w:r>
    </w:p>
  </w:endnote>
  <w:endnote w:type="continuationSeparator" w:id="0">
    <w:p w14:paraId="13C11EBB" w14:textId="77777777" w:rsidR="006E7A56" w:rsidRDefault="006E7A56"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1E1E" w14:textId="77777777" w:rsidR="00574C9B" w:rsidRDefault="00574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2721" w14:textId="1D5C4ED9" w:rsidR="0084105C" w:rsidRPr="003065C9" w:rsidRDefault="00C6634B" w:rsidP="00C6634B">
    <w:pPr>
      <w:pStyle w:val="Footer"/>
      <w:jc w:val="left"/>
    </w:pPr>
    <w:r>
      <w:t xml:space="preserve">ECO/650 – EESC-2024-02528-00-00-RES-TRA (EN) </w:t>
    </w:r>
    <w:r>
      <w:fldChar w:fldCharType="begin"/>
    </w:r>
    <w:r>
      <w:instrText xml:space="preserve"> PAGE  \* Arabic  \* MERGEFORMAT </w:instrText>
    </w:r>
    <w:r>
      <w:fldChar w:fldCharType="separate"/>
    </w:r>
    <w:r w:rsidR="00F868D1">
      <w:rPr>
        <w:noProof/>
      </w:rPr>
      <w:t>4</w:t>
    </w:r>
    <w:r>
      <w:fldChar w:fldCharType="end"/>
    </w:r>
    <w:r>
      <w:t>/</w:t>
    </w:r>
    <w:r>
      <w:fldChar w:fldCharType="begin"/>
    </w:r>
    <w:r>
      <w:instrText xml:space="preserve"> = </w:instrText>
    </w:r>
    <w:fldSimple w:instr=" NUMPAGES ">
      <w:r w:rsidR="00F868D1">
        <w:rPr>
          <w:noProof/>
        </w:rPr>
        <w:instrText>6</w:instrText>
      </w:r>
    </w:fldSimple>
    <w:r>
      <w:instrText xml:space="preserve"> - 2 </w:instrText>
    </w:r>
    <w:r>
      <w:fldChar w:fldCharType="separate"/>
    </w:r>
    <w:r w:rsidR="00F868D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468C" w14:textId="77777777" w:rsidR="006E7A56" w:rsidRDefault="006E7A56" w:rsidP="00F53370">
      <w:pPr>
        <w:spacing w:line="240" w:lineRule="auto"/>
      </w:pPr>
      <w:r>
        <w:separator/>
      </w:r>
    </w:p>
  </w:footnote>
  <w:footnote w:type="continuationSeparator" w:id="0">
    <w:p w14:paraId="66816EE1" w14:textId="77777777" w:rsidR="006E7A56" w:rsidRDefault="006E7A56" w:rsidP="00F533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1B044" w14:textId="77777777" w:rsidR="00574C9B" w:rsidRDefault="006E7A56">
    <w:pPr>
      <w:pStyle w:val="Header"/>
    </w:pPr>
    <w:r>
      <w:pict w14:anchorId="6166D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69DF" w14:textId="4E9CE157" w:rsidR="00574C9B" w:rsidRDefault="003E09C7">
    <w:pPr>
      <w:pStyle w:val="Header"/>
    </w:pPr>
    <w:r>
      <w:rPr>
        <w:noProof/>
        <w:lang w:eastAsia="el-GR"/>
      </w:rPr>
      <w:drawing>
        <wp:anchor distT="0" distB="0" distL="114300" distR="114300" simplePos="0" relativeHeight="251661312" behindDoc="0" locked="0" layoutInCell="1" allowOverlap="1" wp14:anchorId="75FEC211" wp14:editId="35B6E123">
          <wp:simplePos x="898497" y="453224"/>
          <wp:positionH relativeFrom="page">
            <wp:align>center</wp:align>
          </wp:positionH>
          <wp:positionV relativeFrom="page">
            <wp:posOffset>288290</wp:posOffset>
          </wp:positionV>
          <wp:extent cx="694436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6E7A56">
      <w:pict w14:anchorId="408CD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B75D" w14:textId="77777777" w:rsidR="00574C9B" w:rsidRDefault="006E7A56">
    <w:pPr>
      <w:pStyle w:val="Header"/>
    </w:pPr>
    <w:r>
      <w:pict w14:anchorId="341A8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01B7" w14:textId="77777777" w:rsidR="00574C9B" w:rsidRDefault="006E7A56">
    <w:pPr>
      <w:pStyle w:val="Header"/>
    </w:pPr>
    <w:r>
      <w:pict w14:anchorId="78D95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38E78" w14:textId="77777777" w:rsidR="00574C9B" w:rsidRDefault="006E7A56">
    <w:pPr>
      <w:pStyle w:val="Header"/>
    </w:pPr>
    <w:r>
      <w:pict w14:anchorId="43E54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4A24B2">
      <w:rPr>
        <w:noProof/>
        <w:lang w:eastAsia="el-GR"/>
      </w:rPr>
      <w:drawing>
        <wp:anchor distT="0" distB="0" distL="114300" distR="114300" simplePos="0" relativeHeight="251662336" behindDoc="1" locked="0" layoutInCell="1" allowOverlap="1" wp14:anchorId="4D4979C6" wp14:editId="16D1820A">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91B55" w14:textId="77777777" w:rsidR="00574C9B" w:rsidRDefault="006E7A56">
    <w:pPr>
      <w:pStyle w:val="Header"/>
    </w:pPr>
    <w:r>
      <w:pict w14:anchorId="7E76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74CF" w14:textId="77777777" w:rsidR="00FA08F8" w:rsidRDefault="006E7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15626"/>
    <w:rsid w:val="00020389"/>
    <w:rsid w:val="00053D00"/>
    <w:rsid w:val="000A0F3B"/>
    <w:rsid w:val="00126F55"/>
    <w:rsid w:val="0019231D"/>
    <w:rsid w:val="001955B6"/>
    <w:rsid w:val="001C5167"/>
    <w:rsid w:val="001D61AC"/>
    <w:rsid w:val="001E15AA"/>
    <w:rsid w:val="001E2A9E"/>
    <w:rsid w:val="001E3FA1"/>
    <w:rsid w:val="00200E87"/>
    <w:rsid w:val="002039C3"/>
    <w:rsid w:val="00206D14"/>
    <w:rsid w:val="00214BDC"/>
    <w:rsid w:val="00215E81"/>
    <w:rsid w:val="0024727F"/>
    <w:rsid w:val="002B6A7B"/>
    <w:rsid w:val="002C54D5"/>
    <w:rsid w:val="00316392"/>
    <w:rsid w:val="003353D7"/>
    <w:rsid w:val="003659F9"/>
    <w:rsid w:val="003D50B8"/>
    <w:rsid w:val="003E09C7"/>
    <w:rsid w:val="00401DE5"/>
    <w:rsid w:val="00442FFF"/>
    <w:rsid w:val="00481540"/>
    <w:rsid w:val="004871B8"/>
    <w:rsid w:val="004A24B2"/>
    <w:rsid w:val="004B478F"/>
    <w:rsid w:val="005127DA"/>
    <w:rsid w:val="00574C9B"/>
    <w:rsid w:val="0058411F"/>
    <w:rsid w:val="005961A4"/>
    <w:rsid w:val="005B40AC"/>
    <w:rsid w:val="005E7D8B"/>
    <w:rsid w:val="005F19D0"/>
    <w:rsid w:val="006125A1"/>
    <w:rsid w:val="006273E8"/>
    <w:rsid w:val="00653E7D"/>
    <w:rsid w:val="00662207"/>
    <w:rsid w:val="00667F09"/>
    <w:rsid w:val="00672B2A"/>
    <w:rsid w:val="00674166"/>
    <w:rsid w:val="006947C9"/>
    <w:rsid w:val="006B57A6"/>
    <w:rsid w:val="006D40F9"/>
    <w:rsid w:val="006D53A6"/>
    <w:rsid w:val="006E7A56"/>
    <w:rsid w:val="00746939"/>
    <w:rsid w:val="00787837"/>
    <w:rsid w:val="00787ABB"/>
    <w:rsid w:val="007A0107"/>
    <w:rsid w:val="007B6C64"/>
    <w:rsid w:val="007C540D"/>
    <w:rsid w:val="00822952"/>
    <w:rsid w:val="00836505"/>
    <w:rsid w:val="00844B87"/>
    <w:rsid w:val="0089251B"/>
    <w:rsid w:val="008A6DD4"/>
    <w:rsid w:val="008F74D7"/>
    <w:rsid w:val="00901B76"/>
    <w:rsid w:val="00904C42"/>
    <w:rsid w:val="00914683"/>
    <w:rsid w:val="00924C05"/>
    <w:rsid w:val="00937CF2"/>
    <w:rsid w:val="00945162"/>
    <w:rsid w:val="00960C9E"/>
    <w:rsid w:val="00976645"/>
    <w:rsid w:val="00976F77"/>
    <w:rsid w:val="0098228C"/>
    <w:rsid w:val="009A03EB"/>
    <w:rsid w:val="009B091D"/>
    <w:rsid w:val="009E2100"/>
    <w:rsid w:val="00A15C10"/>
    <w:rsid w:val="00A25592"/>
    <w:rsid w:val="00A310E1"/>
    <w:rsid w:val="00A36AB0"/>
    <w:rsid w:val="00A4105B"/>
    <w:rsid w:val="00AB37A3"/>
    <w:rsid w:val="00AC5114"/>
    <w:rsid w:val="00AF5F43"/>
    <w:rsid w:val="00B022DD"/>
    <w:rsid w:val="00B25683"/>
    <w:rsid w:val="00B51901"/>
    <w:rsid w:val="00B813F6"/>
    <w:rsid w:val="00BD058F"/>
    <w:rsid w:val="00BD50F6"/>
    <w:rsid w:val="00C073E1"/>
    <w:rsid w:val="00C25647"/>
    <w:rsid w:val="00C6634B"/>
    <w:rsid w:val="00C6695F"/>
    <w:rsid w:val="00C66AEA"/>
    <w:rsid w:val="00C9040A"/>
    <w:rsid w:val="00C91E4D"/>
    <w:rsid w:val="00C97300"/>
    <w:rsid w:val="00CB110A"/>
    <w:rsid w:val="00CB7CD0"/>
    <w:rsid w:val="00CC066D"/>
    <w:rsid w:val="00CE4363"/>
    <w:rsid w:val="00CE5278"/>
    <w:rsid w:val="00D039AF"/>
    <w:rsid w:val="00D4086D"/>
    <w:rsid w:val="00D95232"/>
    <w:rsid w:val="00DA1320"/>
    <w:rsid w:val="00DB7F50"/>
    <w:rsid w:val="00DE30C7"/>
    <w:rsid w:val="00DF400F"/>
    <w:rsid w:val="00DF7334"/>
    <w:rsid w:val="00E15BF4"/>
    <w:rsid w:val="00E2376B"/>
    <w:rsid w:val="00E26935"/>
    <w:rsid w:val="00E27707"/>
    <w:rsid w:val="00E52B04"/>
    <w:rsid w:val="00E661B7"/>
    <w:rsid w:val="00EC315D"/>
    <w:rsid w:val="00F10276"/>
    <w:rsid w:val="00F2069F"/>
    <w:rsid w:val="00F43068"/>
    <w:rsid w:val="00F47BD2"/>
    <w:rsid w:val="00F53370"/>
    <w:rsid w:val="00F868D1"/>
    <w:rsid w:val="00F90BE2"/>
    <w:rsid w:val="00FA01DE"/>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7D684E0"/>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ListParagraph">
    <w:name w:val="List Paragraph"/>
    <w:basedOn w:val="Normal"/>
    <w:uiPriority w:val="34"/>
    <w:qFormat/>
    <w:rsid w:val="00A2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F7M6YNZUATRX-789077548-2795</_dlc_DocId>
    <_dlc_DocIdUrl xmlns="59ace41b-6786-4ce3-be71-52c27066c6ef">
      <Url>http://dm/eesc/2024/_layouts/15/DocIdRedir.aspx?ID=F7M6YNZUATRX-789077548-2795</Url>
      <Description>F7M6YNZUATRX-789077548-2795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2024-07-11T12:00:00+00:00</ProductionDate>
    <DocumentNumber xmlns="36007a90-28ab-40da-967b-595e4ec83007">2528</DocumentNumber>
    <FicheYear xmlns="59ace41b-6786-4ce3-be71-52c27066c6ef" xsi:nil="true"/>
    <DossierNumber xmlns="59ace41b-6786-4ce3-be71-52c27066c6ef">650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66</Value>
      <Value>43</Value>
      <Value>37</Value>
      <Value>36</Value>
      <Value>35</Value>
      <Value>34</Value>
      <Value>33</Value>
      <Value>32</Value>
      <Value>31</Value>
      <Value>30</Value>
      <Value>29</Value>
      <Value>28</Value>
      <Value>27</Value>
      <Value>26</Value>
      <Value>25</Value>
      <Value>24</Value>
      <Value>23</Value>
      <Value>22</Value>
      <Value>21</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VARDAKASTANIS</Rapporteur>
    <DocumentYear xmlns="59ace41b-6786-4ce3-be71-52c27066c6ef">2024</DocumentYear>
    <FicheNumber xmlns="59ace41b-6786-4ce3-be71-52c27066c6ef">7051</FicheNumber>
    <OriginalSender xmlns="59ace41b-6786-4ce3-be71-52c27066c6ef">
      <UserInfo>
        <DisplayName>Poulou Nikoletta</DisplayName>
        <AccountId>2040</AccountId>
        <AccountType/>
      </UserInfo>
    </OriginalSender>
    <DocumentPart xmlns="59ace41b-6786-4ce3-be71-52c27066c6ef">0</DocumentPart>
    <AdoptionDate xmlns="59ace41b-6786-4ce3-be71-52c27066c6ef">2024-07-10T12:00:00+00:00</AdoptionDate>
    <RequestingService xmlns="59ace41b-6786-4ce3-be71-52c27066c6ef">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6007a90-28ab-40da-967b-595e4ec830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C9C698F2971CE54890F427AFE3EB568F" ma:contentTypeVersion="4" ma:contentTypeDescription="Defines the documents for Document Manager V2" ma:contentTypeScope="" ma:versionID="1ede4366cc334d81186bb4f7d46e0bfd">
  <xsd:schema xmlns:xsd="http://www.w3.org/2001/XMLSchema" xmlns:xs="http://www.w3.org/2001/XMLSchema" xmlns:p="http://schemas.microsoft.com/office/2006/metadata/properties" xmlns:ns2="59ace41b-6786-4ce3-be71-52c27066c6ef" xmlns:ns3="http://schemas.microsoft.com/sharepoint/v3/fields" xmlns:ns4="36007a90-28ab-40da-967b-595e4ec83007" targetNamespace="http://schemas.microsoft.com/office/2006/metadata/properties" ma:root="true" ma:fieldsID="793bace539ab1b60d443041a34a09cc2" ns2:_="" ns3:_="" ns4:_="">
    <xsd:import namespace="59ace41b-6786-4ce3-be71-52c27066c6ef"/>
    <xsd:import namespace="http://schemas.microsoft.com/sharepoint/v3/fields"/>
    <xsd:import namespace="36007a90-28ab-40da-967b-595e4ec830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07a90-28ab-40da-967b-595e4ec830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EB4D23-E1C3-46F9-82DC-F74E27CFABBF}">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36007a90-28ab-40da-967b-595e4ec83007"/>
  </ds:schemaRefs>
</ds:datastoreItem>
</file>

<file path=customXml/itemProps2.xml><?xml version="1.0" encoding="utf-8"?>
<ds:datastoreItem xmlns:ds="http://schemas.openxmlformats.org/officeDocument/2006/customXml" ds:itemID="{6AC74331-C7E7-4505-B585-2BAEC523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36007a90-28ab-40da-967b-595e4ec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F2F2E-0F04-4008-94A4-431A43E5D8EA}">
  <ds:schemaRefs>
    <ds:schemaRef ds:uri="http://schemas.microsoft.com/sharepoint/v3/contenttype/forms"/>
  </ds:schemaRefs>
</ds:datastoreItem>
</file>

<file path=customXml/itemProps4.xml><?xml version="1.0" encoding="utf-8"?>
<ds:datastoreItem xmlns:ds="http://schemas.openxmlformats.org/officeDocument/2006/customXml" ds:itemID="{175F03AF-B542-4D3C-B4CA-F1DAB251E6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ECO/650 - Κανείς δεν θα πρέπει να μείνει στο περιθώριο! Για μια συμμετοχική και χωρίς αποκλεισμούς πολιτική συνοχής με σκοπό τη στήριξη της κοινωνικής, οικονομικής και εδαφικής συνοχής</vt:lpstr>
    </vt:vector>
  </TitlesOfParts>
  <Company>CESE-CdR</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ECO/650 - Κανείς δεν θα πρέπει να μείνει στο περιθώριο! Για μια συμμετοχική και χωρίς αποκλεισμούς πολιτική συνοχής με σκοπό τη στήριξη της κοινωνικής, οικονομικής και εδαφικής συνοχής</dc:title>
  <dc:subject>RES</dc:subject>
  <dc:creator>Francois Aude</dc:creator>
  <cp:keywords>EESC-2024-02528-00-00-RES-TRA-EN</cp:keywords>
  <dc:description>Rapporteur:  - Original language: EN - Date of document: 11/07/2024 - Date of meeting:  - External documents:  - Administrator:  MELEAS Georgios</dc:description>
  <cp:lastModifiedBy>tania</cp:lastModifiedBy>
  <cp:revision>2</cp:revision>
  <dcterms:created xsi:type="dcterms:W3CDTF">2025-07-10T07:01:00Z</dcterms:created>
  <dcterms:modified xsi:type="dcterms:W3CDTF">2025-07-10T07:01:00Z</dcterms:modified>
  <cp:category>ECO/650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11/07/2024, 11/07/2024, 12/04/2024, 17/05/2022</vt:lpwstr>
  </property>
  <property fmtid="{D5CDD505-2E9C-101B-9397-08002B2CF9AE}" pid="4" name="Pref_Time">
    <vt:lpwstr>14:38:50, 13:29:52, 12:01:57, 14:58:36</vt:lpwstr>
  </property>
  <property fmtid="{D5CDD505-2E9C-101B-9397-08002B2CF9AE}" pid="5" name="Pref_User">
    <vt:lpwstr>amett, amett, enied, enied</vt:lpwstr>
  </property>
  <property fmtid="{D5CDD505-2E9C-101B-9397-08002B2CF9AE}" pid="6" name="Pref_FileName">
    <vt:lpwstr>EESC-2024-02528-00-00-RES-TRA-EN-CRR.docx, eesc-2024-02528-00-00-res-ori (1).docx, COR-EESC-2024-01326-16-00-ADMIN-ORI.docx, COR-EESC-2022-02592-00-00-ADMIN-ORI.docx</vt:lpwstr>
  </property>
  <property fmtid="{D5CDD505-2E9C-101B-9397-08002B2CF9AE}" pid="7" name="ContentTypeId">
    <vt:lpwstr>0x010100EA97B91038054C99906057A708A1480A00C9C698F2971CE54890F427AFE3EB568F</vt:lpwstr>
  </property>
  <property fmtid="{D5CDD505-2E9C-101B-9397-08002B2CF9AE}" pid="8" name="_dlc_DocIdItemGuid">
    <vt:lpwstr>bc88a2f0-a600-4531-b0a6-dbfd0caf44d0</vt:lpwstr>
  </property>
  <property fmtid="{D5CDD505-2E9C-101B-9397-08002B2CF9AE}" pid="9" name="AvailableTranslations">
    <vt:lpwstr>43;#CS|72f9705b-0217-4fd3-bea2-cbc7ed80e26e;#32;#HU|6b229040-c589-4408-b4c1-4285663d20a8;#35;#FI|87606a43-d45f-42d6-b8c9-e1a3457db5b7;#16;#DA|5d49c027-8956-412b-aa16-e85a0f96ad0e;#25;#DE|f6b31e5a-26fa-4935-b661-318e46daf27e;#28;#LV|46f7e311-5d9f-4663-b433</vt:lpwstr>
  </property>
  <property fmtid="{D5CDD505-2E9C-101B-9397-08002B2CF9AE}" pid="10" name="DocumentType_0">
    <vt:lpwstr>RES|9e3e62eb-6858-4bc7-8a50-3453e395fd01</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2528</vt:i4>
  </property>
  <property fmtid="{D5CDD505-2E9C-101B-9397-08002B2CF9AE}" pid="14" name="DocumentVersion">
    <vt:i4>0</vt:i4>
  </property>
  <property fmtid="{D5CDD505-2E9C-101B-9397-08002B2CF9AE}" pid="15" name="DossierNumber">
    <vt:i4>650</vt:i4>
  </property>
  <property fmtid="{D5CDD505-2E9C-101B-9397-08002B2CF9AE}" pid="16" name="DocumentStatus">
    <vt:lpwstr>3;#TRA|150d2a88-1431-44e6-a8ca-0bb753ab8672</vt:lpwstr>
  </property>
  <property fmtid="{D5CDD505-2E9C-101B-9397-08002B2CF9AE}" pid="17" name="DocumentPart">
    <vt:i4>0</vt:i4>
  </property>
  <property fmtid="{D5CDD505-2E9C-101B-9397-08002B2CF9AE}" pid="18" name="DossierName">
    <vt:lpwstr>66;#ECO|8df351f5-c957-404c-8cf3-8ffb22c9cba2</vt:lpwstr>
  </property>
  <property fmtid="{D5CDD505-2E9C-101B-9397-08002B2CF9AE}" pid="19" name="DocumentSource">
    <vt:lpwstr>1;#EESC|422833ec-8d7e-4e65-8e4e-8bed07ffb729</vt:lpwstr>
  </property>
  <property fmtid="{D5CDD505-2E9C-101B-9397-08002B2CF9AE}" pid="20" name="AdoptionDate">
    <vt:filetime>2024-07-10T12:00:00Z</vt:filetime>
  </property>
  <property fmtid="{D5CDD505-2E9C-101B-9397-08002B2CF9AE}" pid="21" name="DocumentType">
    <vt:lpwstr>162;#RES|9e3e62eb-6858-4bc7-8a50-3453e395fd01</vt:lpwstr>
  </property>
  <property fmtid="{D5CDD505-2E9C-101B-9397-08002B2CF9AE}" pid="22" name="RequestingService">
    <vt:lpwstr>Union économique et monétaire et cohésion économique et sociale</vt:lpwstr>
  </property>
  <property fmtid="{D5CDD505-2E9C-101B-9397-08002B2CF9AE}" pid="23" name="Confidentiality">
    <vt:lpwstr>6;#Unrestricted|826e22d7-d029-4ec0-a450-0c28ff673572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5;#EN|f2175f21-25d7-44a3-96da-d6a61b075e1b</vt:lpwstr>
  </property>
  <property fmtid="{D5CDD505-2E9C-101B-9397-08002B2CF9AE}" pid="27" name="MeetingName">
    <vt:lpwstr/>
  </property>
  <property fmtid="{D5CDD505-2E9C-101B-9397-08002B2CF9AE}" pid="28" name="AvailableTranslations_0">
    <vt:lpwstr>DA|5d49c027-8956-412b-aa16-e85a0f96ad0e;SL|98a412ae-eb01-49e9-ae3d-585a81724cfc;NL|55c6556c-b4f4-441d-9acf-c498d4f838bd;SV|c2ed69e7-a339-43d7-8f22-d93680a92aa0;EN|f2175f21-25d7-44a3-96da-d6a61b075e1b;IT|0774613c-01ed-4e5d-a25d-11d2388de825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16;#DA|5d49c027-8956-412b-aa16-e85a0f96ad0e;#66;#ECO|8df351f5-c957-404c-8cf3-8ffb22c9cba2;#31;#NL|55c6556c-b4f4-441d-9acf-c498d4f838bd;#12;#IT|0774613c-01ed-4e5d-a25d-11d2388de825;#27;#SL|98a412ae-eb01-49e9-ae3d-585a81724cfc;#162;#RES|9e3e62eb-6858-4bc7-8</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7051</vt:i4>
  </property>
  <property fmtid="{D5CDD505-2E9C-101B-9397-08002B2CF9AE}" pid="36" name="DocumentLanguage">
    <vt:lpwstr>29;#EL|6d4f4d51-af9b-4650-94b4-4276bee85c91</vt:lpwstr>
  </property>
  <property fmtid="{D5CDD505-2E9C-101B-9397-08002B2CF9AE}" pid="37" name="_docset_NoMedatataSyncRequired">
    <vt:lpwstr>False</vt:lpwstr>
  </property>
</Properties>
</file>