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13414" w14:textId="72F73D6C" w:rsidR="007D51AE" w:rsidRDefault="00BB3BD2" w:rsidP="008010AF">
      <w:pPr>
        <w:spacing w:before="240"/>
        <w:ind w:right="-1"/>
        <w:jc w:val="center"/>
        <w:rPr>
          <w:b/>
          <w:lang w:val="el-GR"/>
        </w:rPr>
      </w:pPr>
      <w:r>
        <w:rPr>
          <w:noProof/>
        </w:rPr>
        <w:drawing>
          <wp:inline distT="0" distB="0" distL="0" distR="0" wp14:anchorId="4B362F80" wp14:editId="461336A4">
            <wp:extent cx="5237137" cy="500603"/>
            <wp:effectExtent l="0" t="0" r="1905" b="0"/>
            <wp:docPr id="2"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8994" cy="508427"/>
                    </a:xfrm>
                    <a:prstGeom prst="rect">
                      <a:avLst/>
                    </a:prstGeom>
                    <a:noFill/>
                    <a:ln>
                      <a:noFill/>
                    </a:ln>
                  </pic:spPr>
                </pic:pic>
              </a:graphicData>
            </a:graphic>
          </wp:inline>
        </w:drawing>
      </w:r>
    </w:p>
    <w:p w14:paraId="4897C51F" w14:textId="439196B2" w:rsidR="007D51AE" w:rsidRPr="00181D14" w:rsidRDefault="00000000">
      <w:pPr>
        <w:spacing w:before="240"/>
        <w:ind w:left="426" w:right="-1"/>
        <w:jc w:val="right"/>
        <w:rPr>
          <w:b/>
          <w:lang w:val="el-GR"/>
        </w:rPr>
      </w:pPr>
      <w:r w:rsidRPr="000655AA">
        <w:rPr>
          <w:b/>
          <w:lang w:val="el-GR"/>
        </w:rPr>
        <w:t xml:space="preserve">Αθήνα: </w:t>
      </w:r>
      <w:r w:rsidR="00A35D6D">
        <w:rPr>
          <w:b/>
          <w:lang w:val="el-GR"/>
        </w:rPr>
        <w:t>29</w:t>
      </w:r>
      <w:r w:rsidR="00D339D2" w:rsidRPr="000655AA">
        <w:rPr>
          <w:b/>
          <w:lang w:val="el-GR"/>
        </w:rPr>
        <w:t>/</w:t>
      </w:r>
      <w:r w:rsidR="00181D14" w:rsidRPr="00181D14">
        <w:rPr>
          <w:b/>
          <w:lang w:val="el-GR"/>
        </w:rPr>
        <w:t>09</w:t>
      </w:r>
      <w:r w:rsidR="00D339D2" w:rsidRPr="000655AA">
        <w:rPr>
          <w:b/>
          <w:lang w:val="el-GR"/>
        </w:rPr>
        <w:t>/</w:t>
      </w:r>
      <w:r w:rsidR="00F438A1" w:rsidRPr="000655AA">
        <w:rPr>
          <w:b/>
          <w:lang w:val="el-GR"/>
        </w:rPr>
        <w:t>202</w:t>
      </w:r>
      <w:r w:rsidR="00181D14" w:rsidRPr="00181D14">
        <w:rPr>
          <w:b/>
          <w:lang w:val="el-GR"/>
        </w:rPr>
        <w:t>5</w:t>
      </w:r>
    </w:p>
    <w:p w14:paraId="16C1AAF4" w14:textId="6B0A1911" w:rsidR="00375C70" w:rsidRPr="00375C70" w:rsidRDefault="00000000" w:rsidP="007F7EFE">
      <w:pPr>
        <w:pStyle w:val="af1"/>
        <w:spacing w:after="120"/>
        <w:contextualSpacing w:val="0"/>
        <w:jc w:val="center"/>
        <w:rPr>
          <w:b/>
          <w:bCs/>
          <w:color w:val="0075B0"/>
          <w:sz w:val="36"/>
          <w:szCs w:val="36"/>
          <w:lang w:val="el-GR"/>
        </w:rPr>
      </w:pPr>
      <w:r w:rsidRPr="00375C70">
        <w:rPr>
          <w:b/>
          <w:bCs/>
          <w:color w:val="0075B0"/>
          <w:sz w:val="52"/>
          <w:szCs w:val="52"/>
          <w:lang w:val="el-GR"/>
        </w:rPr>
        <w:t>Δ</w:t>
      </w:r>
      <w:r w:rsidRPr="00375C70">
        <w:rPr>
          <w:b/>
          <w:bCs/>
          <w:color w:val="0075B0"/>
          <w:sz w:val="36"/>
          <w:szCs w:val="36"/>
          <w:lang w:val="el-GR"/>
        </w:rPr>
        <w:t xml:space="preserve">ΕΛΤΙΟ </w:t>
      </w:r>
      <w:r w:rsidRPr="00F1419A">
        <w:rPr>
          <w:b/>
          <w:bCs/>
          <w:color w:val="0075B0"/>
          <w:sz w:val="52"/>
          <w:szCs w:val="52"/>
          <w:lang w:val="el-GR"/>
        </w:rPr>
        <w:t>Σ</w:t>
      </w:r>
      <w:r w:rsidRPr="00F1419A">
        <w:rPr>
          <w:b/>
          <w:bCs/>
          <w:color w:val="0075B0"/>
          <w:sz w:val="36"/>
          <w:szCs w:val="36"/>
          <w:lang w:val="el-GR"/>
        </w:rPr>
        <w:t>ΤΑΤΙΣΤΙΚΗΣ</w:t>
      </w:r>
      <w:r w:rsidRPr="00375C70">
        <w:rPr>
          <w:b/>
          <w:bCs/>
          <w:color w:val="0075B0"/>
          <w:sz w:val="36"/>
          <w:szCs w:val="36"/>
          <w:lang w:val="el-GR"/>
        </w:rPr>
        <w:t xml:space="preserve"> </w:t>
      </w:r>
      <w:r w:rsidRPr="00375C70">
        <w:rPr>
          <w:b/>
          <w:bCs/>
          <w:color w:val="0075B0"/>
          <w:sz w:val="52"/>
          <w:szCs w:val="52"/>
          <w:lang w:val="el-GR"/>
        </w:rPr>
        <w:t>Π</w:t>
      </w:r>
      <w:r w:rsidRPr="00375C70">
        <w:rPr>
          <w:b/>
          <w:bCs/>
          <w:color w:val="0075B0"/>
          <w:sz w:val="36"/>
          <w:szCs w:val="36"/>
          <w:lang w:val="el-GR"/>
        </w:rPr>
        <w:t>ΛΗΡΟΦΟΡΗΣΗΣ</w:t>
      </w:r>
    </w:p>
    <w:p w14:paraId="3EDC7F10" w14:textId="68311A75" w:rsidR="00375C70" w:rsidRPr="00F1419A" w:rsidRDefault="00375C70" w:rsidP="00375C70">
      <w:pPr>
        <w:spacing w:after="0"/>
        <w:jc w:val="center"/>
        <w:rPr>
          <w:color w:val="0075B0"/>
          <w:sz w:val="28"/>
          <w:szCs w:val="28"/>
          <w:lang w:val="el-GR"/>
        </w:rPr>
      </w:pPr>
      <w:r w:rsidRPr="00F1419A">
        <w:rPr>
          <w:color w:val="0075B0"/>
          <w:sz w:val="28"/>
          <w:szCs w:val="28"/>
          <w:lang w:val="el-GR"/>
        </w:rPr>
        <w:t>[202</w:t>
      </w:r>
      <w:r w:rsidR="00181D14" w:rsidRPr="00181D14">
        <w:rPr>
          <w:color w:val="0075B0"/>
          <w:sz w:val="28"/>
          <w:szCs w:val="28"/>
          <w:lang w:val="el-GR"/>
        </w:rPr>
        <w:t>5</w:t>
      </w:r>
      <w:r w:rsidR="00093E9D" w:rsidRPr="000655AA">
        <w:rPr>
          <w:color w:val="0075B0"/>
          <w:sz w:val="28"/>
          <w:szCs w:val="28"/>
          <w:lang w:val="el-GR"/>
        </w:rPr>
        <w:t xml:space="preserve"> </w:t>
      </w:r>
      <w:r w:rsidR="00093E9D" w:rsidRPr="00F1419A">
        <w:rPr>
          <w:color w:val="0075B0"/>
          <w:sz w:val="28"/>
          <w:szCs w:val="28"/>
          <w:lang w:val="el-GR"/>
        </w:rPr>
        <w:sym w:font="Wingdings" w:char="F09F"/>
      </w:r>
      <w:r w:rsidR="00093E9D" w:rsidRPr="000655AA">
        <w:rPr>
          <w:color w:val="0075B0"/>
          <w:sz w:val="28"/>
          <w:szCs w:val="28"/>
          <w:lang w:val="el-GR"/>
        </w:rPr>
        <w:t xml:space="preserve"> </w:t>
      </w:r>
      <w:r w:rsidR="00181D14" w:rsidRPr="00181D14">
        <w:rPr>
          <w:color w:val="0075B0"/>
          <w:sz w:val="28"/>
          <w:szCs w:val="28"/>
          <w:lang w:val="el-GR"/>
        </w:rPr>
        <w:t>2</w:t>
      </w:r>
      <w:r w:rsidRPr="00F1419A">
        <w:rPr>
          <w:color w:val="0075B0"/>
          <w:sz w:val="28"/>
          <w:szCs w:val="28"/>
          <w:vertAlign w:val="superscript"/>
          <w:lang w:val="el-GR"/>
        </w:rPr>
        <w:t xml:space="preserve">ο </w:t>
      </w:r>
      <w:r w:rsidRPr="00F1419A">
        <w:rPr>
          <w:color w:val="0075B0"/>
          <w:sz w:val="28"/>
          <w:szCs w:val="28"/>
          <w:lang w:val="el-GR"/>
        </w:rPr>
        <w:t>ΔΕΛΤΙΟ]</w:t>
      </w:r>
    </w:p>
    <w:p w14:paraId="57E6C8A3" w14:textId="77777777" w:rsidR="00093E9D" w:rsidRPr="000655AA" w:rsidRDefault="00093E9D" w:rsidP="007F7EFE">
      <w:pPr>
        <w:spacing w:after="0" w:line="240" w:lineRule="auto"/>
        <w:jc w:val="center"/>
        <w:rPr>
          <w:b/>
          <w:bCs/>
          <w:sz w:val="30"/>
          <w:szCs w:val="30"/>
          <w:lang w:val="el-GR"/>
        </w:rPr>
      </w:pPr>
    </w:p>
    <w:p w14:paraId="4FBD1C0D" w14:textId="79401A7E" w:rsidR="00375C70" w:rsidRPr="00375C70" w:rsidRDefault="00000000" w:rsidP="00375C70">
      <w:pPr>
        <w:jc w:val="center"/>
        <w:rPr>
          <w:b/>
          <w:bCs/>
          <w:sz w:val="30"/>
          <w:szCs w:val="30"/>
          <w:lang w:val="el-GR"/>
        </w:rPr>
      </w:pPr>
      <w:r w:rsidRPr="00C10021">
        <w:rPr>
          <w:b/>
          <w:bCs/>
          <w:sz w:val="30"/>
          <w:szCs w:val="30"/>
          <w:lang w:val="el-GR"/>
        </w:rPr>
        <w:t>«</w:t>
      </w:r>
      <w:bookmarkStart w:id="0" w:name="_Hlk209086195"/>
      <w:r w:rsidR="00181D14" w:rsidRPr="00181D14">
        <w:rPr>
          <w:b/>
          <w:bCs/>
          <w:sz w:val="30"/>
          <w:szCs w:val="30"/>
          <w:lang w:val="el-GR"/>
        </w:rPr>
        <w:t>Το τετρ</w:t>
      </w:r>
      <w:r w:rsidR="00181D14">
        <w:rPr>
          <w:b/>
          <w:bCs/>
          <w:sz w:val="30"/>
          <w:szCs w:val="30"/>
          <w:lang w:val="el-GR"/>
        </w:rPr>
        <w:t>ά</w:t>
      </w:r>
      <w:r w:rsidR="00181D14" w:rsidRPr="00181D14">
        <w:rPr>
          <w:b/>
          <w:bCs/>
          <w:sz w:val="30"/>
          <w:szCs w:val="30"/>
          <w:lang w:val="el-GR"/>
        </w:rPr>
        <w:t>πτυχο της περιθωριοποίησης των ατόμων με αναπηρία στην Ελλάδα</w:t>
      </w:r>
      <w:r w:rsidR="00181D14">
        <w:rPr>
          <w:b/>
          <w:bCs/>
          <w:sz w:val="30"/>
          <w:szCs w:val="30"/>
          <w:lang w:val="el-GR"/>
        </w:rPr>
        <w:t>:</w:t>
      </w:r>
      <w:r w:rsidR="00181D14" w:rsidRPr="00181D14">
        <w:rPr>
          <w:rFonts w:ascii="Constantia" w:hAnsi="Constantia"/>
          <w:b/>
          <w:bCs/>
          <w:kern w:val="2"/>
          <w:lang w:val="el-GR"/>
          <w14:ligatures w14:val="standardContextual"/>
        </w:rPr>
        <w:t xml:space="preserve"> </w:t>
      </w:r>
      <w:r w:rsidR="00181D14" w:rsidRPr="00181D14">
        <w:rPr>
          <w:b/>
          <w:bCs/>
          <w:sz w:val="30"/>
          <w:szCs w:val="30"/>
          <w:lang w:val="el-GR"/>
        </w:rPr>
        <w:t>Φτώχεια, εργασιακός αποκλεισμός, ελλειμματική κοινωνική προστασία, υγεία από την τσέπη των νοικοκυριών</w:t>
      </w:r>
      <w:bookmarkEnd w:id="0"/>
      <w:r w:rsidRPr="00C10021">
        <w:rPr>
          <w:b/>
          <w:bCs/>
          <w:sz w:val="30"/>
          <w:szCs w:val="30"/>
          <w:lang w:val="el-GR"/>
        </w:rPr>
        <w:t>»</w:t>
      </w:r>
    </w:p>
    <w:p w14:paraId="530AFAB9" w14:textId="6E6513B6" w:rsidR="005A5477" w:rsidRPr="007C2B56" w:rsidRDefault="0000000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rFonts w:cs="Arial (Body CS)"/>
          <w:spacing w:val="-4"/>
          <w:sz w:val="24"/>
          <w:szCs w:val="24"/>
          <w:lang w:val="el-GR"/>
        </w:rPr>
      </w:pPr>
      <w:r w:rsidRPr="007C2B56">
        <w:rPr>
          <w:rFonts w:cs="Arial (Body CS)"/>
          <w:spacing w:val="-4"/>
          <w:sz w:val="24"/>
          <w:szCs w:val="24"/>
          <w:lang w:val="el-GR"/>
        </w:rPr>
        <w:t>Τ</w:t>
      </w:r>
      <w:r w:rsidR="00A95E35" w:rsidRPr="007C2B56">
        <w:rPr>
          <w:rFonts w:cs="Arial (Body CS)"/>
          <w:spacing w:val="-4"/>
          <w:sz w:val="24"/>
          <w:szCs w:val="24"/>
          <w:lang w:val="el-GR"/>
        </w:rPr>
        <w:t xml:space="preserve">α </w:t>
      </w:r>
      <w:r w:rsidR="00D339D2" w:rsidRPr="007C2B56">
        <w:rPr>
          <w:rFonts w:cs="Arial (Body CS)"/>
          <w:spacing w:val="-4"/>
          <w:sz w:val="24"/>
          <w:szCs w:val="24"/>
          <w:lang w:val="el-GR"/>
        </w:rPr>
        <w:t>Δ</w:t>
      </w:r>
      <w:r w:rsidR="00A95E35" w:rsidRPr="007C2B56">
        <w:rPr>
          <w:rFonts w:cs="Arial (Body CS)"/>
          <w:spacing w:val="-4"/>
          <w:sz w:val="24"/>
          <w:szCs w:val="24"/>
          <w:lang w:val="el-GR"/>
        </w:rPr>
        <w:t xml:space="preserve">ελτία </w:t>
      </w:r>
      <w:r w:rsidR="00D339D2" w:rsidRPr="007C2B56">
        <w:rPr>
          <w:rFonts w:cs="Arial (Body CS)"/>
          <w:spacing w:val="-4"/>
          <w:sz w:val="24"/>
          <w:szCs w:val="24"/>
          <w:lang w:val="el-GR"/>
        </w:rPr>
        <w:t>Σ</w:t>
      </w:r>
      <w:r w:rsidR="00A95E35" w:rsidRPr="007C2B56">
        <w:rPr>
          <w:rFonts w:cs="Arial (Body CS)"/>
          <w:spacing w:val="-4"/>
          <w:sz w:val="24"/>
          <w:szCs w:val="24"/>
          <w:lang w:val="el-GR"/>
        </w:rPr>
        <w:t xml:space="preserve">τατιστικής </w:t>
      </w:r>
      <w:r w:rsidR="00D339D2" w:rsidRPr="007C2B56">
        <w:rPr>
          <w:rFonts w:cs="Arial (Body CS)"/>
          <w:spacing w:val="-4"/>
          <w:sz w:val="24"/>
          <w:szCs w:val="24"/>
          <w:lang w:val="el-GR"/>
        </w:rPr>
        <w:t>Π</w:t>
      </w:r>
      <w:r w:rsidR="00A95E35" w:rsidRPr="007C2B56">
        <w:rPr>
          <w:rFonts w:cs="Arial (Body CS)"/>
          <w:spacing w:val="-4"/>
          <w:sz w:val="24"/>
          <w:szCs w:val="24"/>
          <w:lang w:val="el-GR"/>
        </w:rPr>
        <w:t xml:space="preserve">ληροφόρησης της Εθνικής Συνομοσπονδίας ατόμων με αναπηρία </w:t>
      </w:r>
      <w:r w:rsidR="000A7708" w:rsidRPr="007C2B56">
        <w:rPr>
          <w:rFonts w:cs="Arial (Body CS)"/>
          <w:spacing w:val="-4"/>
          <w:sz w:val="24"/>
          <w:szCs w:val="24"/>
          <w:lang w:val="el-GR"/>
        </w:rPr>
        <w:t>(Ε.Σ.Α.μεΑ.)</w:t>
      </w:r>
      <w:r w:rsidR="00375C70" w:rsidRPr="007C2B56">
        <w:rPr>
          <w:rFonts w:cs="Arial (Body CS)"/>
          <w:spacing w:val="-4"/>
          <w:sz w:val="24"/>
          <w:szCs w:val="24"/>
          <w:lang w:val="el-GR"/>
        </w:rPr>
        <w:t xml:space="preserve"> </w:t>
      </w:r>
      <w:r w:rsidR="007564FF" w:rsidRPr="007C2B56">
        <w:rPr>
          <w:rFonts w:cs="Arial (Body CS)"/>
          <w:spacing w:val="-4"/>
          <w:sz w:val="24"/>
          <w:szCs w:val="24"/>
          <w:lang w:val="el-GR"/>
        </w:rPr>
        <w:t>εντάσσονται στο</w:t>
      </w:r>
      <w:r w:rsidRPr="007C2B56">
        <w:rPr>
          <w:rFonts w:cs="Arial (Body CS)"/>
          <w:spacing w:val="-4"/>
          <w:sz w:val="24"/>
          <w:szCs w:val="24"/>
          <w:lang w:val="el-GR"/>
        </w:rPr>
        <w:t xml:space="preserve"> </w:t>
      </w:r>
      <w:r w:rsidR="00A95E35" w:rsidRPr="007C2B56">
        <w:rPr>
          <w:rFonts w:cs="Arial (Body CS)"/>
          <w:spacing w:val="-4"/>
          <w:sz w:val="24"/>
          <w:szCs w:val="24"/>
          <w:lang w:val="el-GR"/>
        </w:rPr>
        <w:t>Έργο «</w:t>
      </w:r>
      <w:r w:rsidRPr="007C2B56">
        <w:rPr>
          <w:rFonts w:cs="Arial (Body CS)"/>
          <w:spacing w:val="-4"/>
          <w:sz w:val="24"/>
          <w:szCs w:val="24"/>
          <w:lang w:val="el-GR"/>
        </w:rPr>
        <w:t>Παρατηρητήριο Θεμάτων Αναπηρίας</w:t>
      </w:r>
      <w:r w:rsidR="00A95E35" w:rsidRPr="007C2B56">
        <w:rPr>
          <w:rFonts w:cs="Arial (Body CS)"/>
          <w:spacing w:val="-4"/>
          <w:sz w:val="24"/>
          <w:szCs w:val="24"/>
          <w:lang w:val="el-GR"/>
        </w:rPr>
        <w:t>»</w:t>
      </w:r>
      <w:r w:rsidRPr="007C2B56">
        <w:rPr>
          <w:rFonts w:cs="Arial (Body CS)"/>
          <w:spacing w:val="-4"/>
          <w:sz w:val="24"/>
          <w:szCs w:val="24"/>
          <w:lang w:val="el-GR"/>
        </w:rPr>
        <w:t xml:space="preserve"> </w:t>
      </w:r>
      <w:r w:rsidR="00B25ECB" w:rsidRPr="007C2B56">
        <w:rPr>
          <w:rFonts w:cs="Arial (Body CS)"/>
          <w:spacing w:val="-4"/>
          <w:sz w:val="24"/>
          <w:szCs w:val="24"/>
          <w:lang w:val="el-GR"/>
        </w:rPr>
        <w:t>που χρηματοδοτ</w:t>
      </w:r>
      <w:r w:rsidR="007564FF" w:rsidRPr="007C2B56">
        <w:rPr>
          <w:rFonts w:cs="Arial (Body CS)"/>
          <w:spacing w:val="-4"/>
          <w:sz w:val="24"/>
          <w:szCs w:val="24"/>
          <w:lang w:val="el-GR"/>
        </w:rPr>
        <w:t>είται</w:t>
      </w:r>
      <w:r w:rsidR="00B25ECB" w:rsidRPr="007C2B56">
        <w:rPr>
          <w:rFonts w:cs="Arial (Body CS)"/>
          <w:spacing w:val="-4"/>
          <w:sz w:val="24"/>
          <w:szCs w:val="24"/>
          <w:lang w:val="el-GR"/>
        </w:rPr>
        <w:t xml:space="preserve"> από το Ευρωπαϊκό Κοινωνικό Ταμείο</w:t>
      </w:r>
      <w:r w:rsidR="00D339D2" w:rsidRPr="007C2B56">
        <w:rPr>
          <w:rFonts w:cs="Arial (Body CS)"/>
          <w:spacing w:val="-4"/>
          <w:sz w:val="24"/>
          <w:szCs w:val="24"/>
          <w:lang w:val="el-GR"/>
        </w:rPr>
        <w:t xml:space="preserve"> και από εθνικούς πόρους</w:t>
      </w:r>
      <w:r w:rsidR="00B25ECB" w:rsidRPr="007C2B56">
        <w:rPr>
          <w:rFonts w:cs="Arial (Body CS)"/>
          <w:spacing w:val="-4"/>
          <w:sz w:val="24"/>
          <w:szCs w:val="24"/>
          <w:lang w:val="el-GR"/>
        </w:rPr>
        <w:t>,</w:t>
      </w:r>
      <w:r w:rsidRPr="007C2B56">
        <w:rPr>
          <w:rFonts w:cs="Arial (Body CS)"/>
          <w:spacing w:val="-4"/>
          <w:sz w:val="24"/>
          <w:szCs w:val="24"/>
          <w:lang w:val="el-GR"/>
        </w:rPr>
        <w:t xml:space="preserve"> με αντικείμενο την επιστημονική καταγραφή, τη μελέτη και την έρευνα σε θέματα αναπηρίας</w:t>
      </w:r>
      <w:r w:rsidR="00A95E35" w:rsidRPr="007C2B56">
        <w:rPr>
          <w:rFonts w:cs="Arial (Body CS)"/>
          <w:spacing w:val="-4"/>
          <w:sz w:val="24"/>
          <w:szCs w:val="24"/>
          <w:lang w:val="el-GR"/>
        </w:rPr>
        <w:t>.</w:t>
      </w:r>
    </w:p>
    <w:p w14:paraId="1DCDC293" w14:textId="3CA0C975" w:rsidR="00DF11A4" w:rsidRPr="007C2B56" w:rsidRDefault="00A95E35"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rFonts w:cs="Arial (Body CS)"/>
          <w:spacing w:val="-4"/>
          <w:sz w:val="24"/>
          <w:szCs w:val="24"/>
          <w:lang w:val="el-GR"/>
        </w:rPr>
      </w:pPr>
      <w:r w:rsidRPr="007C2B56">
        <w:rPr>
          <w:rFonts w:cs="Arial (Body CS)"/>
          <w:spacing w:val="-4"/>
          <w:sz w:val="24"/>
          <w:szCs w:val="24"/>
          <w:lang w:val="el-GR"/>
        </w:rPr>
        <w:t xml:space="preserve">Στόχος του Έργου </w:t>
      </w:r>
      <w:r w:rsidR="007564FF" w:rsidRPr="007C2B56">
        <w:rPr>
          <w:rFonts w:cs="Arial (Body CS)"/>
          <w:spacing w:val="-4"/>
          <w:sz w:val="24"/>
          <w:szCs w:val="24"/>
          <w:lang w:val="el-GR"/>
        </w:rPr>
        <w:t xml:space="preserve">αποτελεί </w:t>
      </w:r>
      <w:r w:rsidRPr="007C2B56">
        <w:rPr>
          <w:rFonts w:cs="Arial (Body CS)"/>
          <w:spacing w:val="-4"/>
          <w:sz w:val="24"/>
          <w:szCs w:val="24"/>
          <w:lang w:val="el-GR"/>
        </w:rPr>
        <w:t>η καθιέρωση του Παρατηρητηρίου ως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 Παρατηρητήριο συ</w:t>
      </w:r>
      <w:r w:rsidR="007564FF" w:rsidRPr="007C2B56">
        <w:rPr>
          <w:rFonts w:cs="Arial (Body CS)"/>
          <w:spacing w:val="-4"/>
          <w:sz w:val="24"/>
          <w:szCs w:val="24"/>
          <w:lang w:val="el-GR"/>
        </w:rPr>
        <w:t>μβάλλει</w:t>
      </w:r>
      <w:r w:rsidRPr="007C2B56">
        <w:rPr>
          <w:rFonts w:cs="Arial (Body CS)"/>
          <w:spacing w:val="-4"/>
          <w:sz w:val="24"/>
          <w:szCs w:val="24"/>
          <w:lang w:val="el-GR"/>
        </w:rPr>
        <w:t xml:space="preserve"> στην παρακολούθηση, στην προστασία και στην προώθηση των δικαιωμάτων των ατόμων με αναπηρία, χρόνιες παθήσεις και των οικογενειών </w:t>
      </w:r>
      <w:r w:rsidR="00E35FF0" w:rsidRPr="007C2B56">
        <w:rPr>
          <w:rFonts w:cs="Arial (Body CS)"/>
          <w:spacing w:val="-4"/>
          <w:sz w:val="24"/>
          <w:szCs w:val="24"/>
          <w:lang w:val="el-GR"/>
        </w:rPr>
        <w:t>τους.</w:t>
      </w:r>
    </w:p>
    <w:p w14:paraId="28870E1A" w14:textId="5971B20A" w:rsidR="007D51AE" w:rsidRPr="007C2B56" w:rsidRDefault="00000000"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4"/>
          <w:sz w:val="24"/>
          <w:szCs w:val="24"/>
          <w:lang w:val="el-GR"/>
        </w:rPr>
      </w:pPr>
      <w:r w:rsidRPr="007C2B56">
        <w:rPr>
          <w:spacing w:val="-4"/>
          <w:sz w:val="24"/>
          <w:szCs w:val="24"/>
          <w:lang w:val="el-GR"/>
        </w:rPr>
        <w:t>Με τον νόμο 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 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διαβούλευση με το Παρατηρητήριο Θεμάτων Αναπηρίας της Εθνικής Συνομοσπονδίας Ατόμων με Αναπηρία</w:t>
      </w:r>
      <w:r w:rsidR="00EB3103" w:rsidRPr="007C2B56">
        <w:rPr>
          <w:spacing w:val="-4"/>
          <w:sz w:val="24"/>
          <w:szCs w:val="24"/>
          <w:lang w:val="el-GR"/>
        </w:rPr>
        <w:t>.</w:t>
      </w:r>
    </w:p>
    <w:p w14:paraId="5C1B4946" w14:textId="0F99015D" w:rsidR="00375C70" w:rsidRPr="00C3251C" w:rsidRDefault="00A95E35" w:rsidP="007564FF">
      <w:pPr>
        <w:pBdr>
          <w:top w:val="single" w:sz="12" w:space="1" w:color="auto"/>
          <w:left w:val="single" w:sz="12" w:space="4" w:color="auto"/>
          <w:bottom w:val="single" w:sz="48" w:space="31" w:color="auto"/>
          <w:right w:val="single" w:sz="12" w:space="4" w:color="auto"/>
        </w:pBdr>
        <w:shd w:val="clear" w:color="auto" w:fill="EBF1DE"/>
        <w:spacing w:line="240" w:lineRule="auto"/>
        <w:ind w:right="-1"/>
        <w:jc w:val="both"/>
        <w:rPr>
          <w:spacing w:val="-4"/>
          <w:sz w:val="24"/>
          <w:szCs w:val="24"/>
          <w:lang w:val="el-GR"/>
        </w:rPr>
      </w:pPr>
      <w:r w:rsidRPr="007C2B56">
        <w:rPr>
          <w:spacing w:val="-4"/>
          <w:sz w:val="24"/>
          <w:szCs w:val="24"/>
          <w:lang w:val="el-GR"/>
        </w:rPr>
        <w:t>Σε αυτό το πλαίσιο συντάσσονται και δημοσιεύονται, ανά τακτά χρονικά διαστήματα, δελτία στατιστικής πληροφόρησης αφιερωμένα σε συγκριμένα θεματικά πεδία, όπου παρουσιάζονται τα σημαντικότερα ευρήματα και τάσεις όπως αυτά προκύπτουν μέσω της επεξεργασίας των διαθέσιμων στατιστικών στοιχείων.</w:t>
      </w:r>
    </w:p>
    <w:p w14:paraId="5658F0D6" w14:textId="5906D4D8" w:rsidR="00E35FF0" w:rsidRPr="003C7725" w:rsidRDefault="00E35FF0" w:rsidP="003C7725">
      <w:pPr>
        <w:pBdr>
          <w:top w:val="single" w:sz="12" w:space="1" w:color="auto"/>
          <w:left w:val="single" w:sz="12" w:space="4" w:color="auto"/>
          <w:bottom w:val="single" w:sz="48" w:space="31" w:color="auto"/>
          <w:right w:val="single" w:sz="12" w:space="4" w:color="auto"/>
        </w:pBdr>
        <w:shd w:val="clear" w:color="auto" w:fill="EBF1DE"/>
        <w:spacing w:line="240" w:lineRule="auto"/>
        <w:ind w:right="-1"/>
        <w:rPr>
          <w:i/>
          <w:iCs/>
          <w:lang w:val="el-GR"/>
        </w:rPr>
      </w:pPr>
      <w:r w:rsidRPr="003C7725">
        <w:rPr>
          <w:i/>
          <w:iCs/>
          <w:lang w:val="el-GR"/>
        </w:rPr>
        <w:t xml:space="preserve">Για περισσότερες πληροφορίες για το Έργο, απευθυνθείτε στην Ιστοσελίδα του Έργου: </w:t>
      </w:r>
      <w:hyperlink r:id="rId9" w:tooltip="Επίσημη Ιστοσελίδα της Πράξης " w:history="1">
        <w:r w:rsidRPr="003C7725">
          <w:rPr>
            <w:rStyle w:val="-0"/>
            <w:i/>
            <w:iCs/>
            <w:lang w:val="el-GR"/>
          </w:rPr>
          <w:t>www.paratiritirioanapirias.gr</w:t>
        </w:r>
      </w:hyperlink>
      <w:r w:rsidRPr="003C7725">
        <w:rPr>
          <w:i/>
          <w:iCs/>
          <w:lang w:val="el-GR"/>
        </w:rPr>
        <w:t>)</w:t>
      </w:r>
    </w:p>
    <w:p w14:paraId="12C5DC30" w14:textId="7BD60188" w:rsidR="007D51AE" w:rsidRPr="00C3251C" w:rsidRDefault="007D51AE">
      <w:pPr>
        <w:rPr>
          <w:highlight w:val="yellow"/>
          <w:lang w:val="el-GR"/>
        </w:rPr>
      </w:pPr>
    </w:p>
    <w:sdt>
      <w:sdtPr>
        <w:rPr>
          <w:rFonts w:asciiTheme="minorHAnsi" w:eastAsiaTheme="minorHAnsi" w:hAnsiTheme="minorHAnsi" w:cstheme="minorBidi"/>
          <w:color w:val="auto"/>
          <w:sz w:val="22"/>
          <w:szCs w:val="22"/>
          <w:lang w:val="el-GR" w:eastAsia="en-US"/>
        </w:rPr>
        <w:id w:val="1997913206"/>
        <w:docPartObj>
          <w:docPartGallery w:val="Table of Contents"/>
          <w:docPartUnique/>
        </w:docPartObj>
      </w:sdtPr>
      <w:sdtEndPr>
        <w:rPr>
          <w:b/>
          <w:bCs/>
        </w:rPr>
      </w:sdtEndPr>
      <w:sdtContent>
        <w:p w14:paraId="6AA03DE4" w14:textId="11B72ECC" w:rsidR="00C761A3" w:rsidRDefault="00C761A3">
          <w:pPr>
            <w:pStyle w:val="af9"/>
          </w:pPr>
          <w:r>
            <w:rPr>
              <w:lang w:val="el-GR"/>
            </w:rPr>
            <w:t>Πίνακας περιεχομένων</w:t>
          </w:r>
        </w:p>
        <w:p w14:paraId="5F76304C" w14:textId="4720B306" w:rsidR="00C761A3" w:rsidRDefault="00C761A3">
          <w:pPr>
            <w:pStyle w:val="11"/>
            <w:rPr>
              <w:rFonts w:eastAsiaTheme="minorEastAsia"/>
              <w:noProof/>
              <w:kern w:val="2"/>
              <w:sz w:val="24"/>
              <w:szCs w:val="24"/>
              <w:lang w:val="de-DE" w:eastAsia="de-DE"/>
              <w14:ligatures w14:val="standardContextual"/>
            </w:rPr>
          </w:pPr>
          <w:r>
            <w:fldChar w:fldCharType="begin"/>
          </w:r>
          <w:r>
            <w:instrText xml:space="preserve"> TOC \o "1-3" \h \z \u </w:instrText>
          </w:r>
          <w:r>
            <w:fldChar w:fldCharType="separate"/>
          </w:r>
          <w:hyperlink w:anchor="_Toc209427138" w:history="1">
            <w:r w:rsidRPr="00CC5C29">
              <w:rPr>
                <w:rStyle w:val="-0"/>
                <w:b/>
                <w:bCs/>
                <w:noProof/>
                <w:lang w:val="el-GR"/>
              </w:rPr>
              <w:t>ΕΙΣΑΓΩΓΗ</w:t>
            </w:r>
            <w:r>
              <w:rPr>
                <w:noProof/>
                <w:webHidden/>
              </w:rPr>
              <w:tab/>
            </w:r>
            <w:r>
              <w:rPr>
                <w:noProof/>
                <w:webHidden/>
              </w:rPr>
              <w:fldChar w:fldCharType="begin"/>
            </w:r>
            <w:r>
              <w:rPr>
                <w:noProof/>
                <w:webHidden/>
              </w:rPr>
              <w:instrText xml:space="preserve"> PAGEREF _Toc209427138 \h </w:instrText>
            </w:r>
            <w:r>
              <w:rPr>
                <w:noProof/>
                <w:webHidden/>
              </w:rPr>
            </w:r>
            <w:r>
              <w:rPr>
                <w:noProof/>
                <w:webHidden/>
              </w:rPr>
              <w:fldChar w:fldCharType="separate"/>
            </w:r>
            <w:r>
              <w:rPr>
                <w:noProof/>
                <w:webHidden/>
              </w:rPr>
              <w:t>5</w:t>
            </w:r>
            <w:r>
              <w:rPr>
                <w:noProof/>
                <w:webHidden/>
              </w:rPr>
              <w:fldChar w:fldCharType="end"/>
            </w:r>
          </w:hyperlink>
        </w:p>
        <w:p w14:paraId="5427AF3F" w14:textId="063FBB62" w:rsidR="00C761A3" w:rsidRDefault="00C761A3">
          <w:pPr>
            <w:pStyle w:val="11"/>
            <w:rPr>
              <w:rFonts w:eastAsiaTheme="minorEastAsia"/>
              <w:noProof/>
              <w:kern w:val="2"/>
              <w:sz w:val="24"/>
              <w:szCs w:val="24"/>
              <w:lang w:val="de-DE" w:eastAsia="de-DE"/>
              <w14:ligatures w14:val="standardContextual"/>
            </w:rPr>
          </w:pPr>
          <w:hyperlink w:anchor="_Toc209427139" w:history="1">
            <w:r w:rsidRPr="00CC5C29">
              <w:rPr>
                <w:rStyle w:val="-0"/>
                <w:b/>
                <w:bCs/>
                <w:noProof/>
                <w:lang w:val="el-GR"/>
              </w:rPr>
              <w:t>ΒΑΣΙΚΑ ΣΥΜΠΕΡΑΣΜΑΤΑ</w:t>
            </w:r>
            <w:r>
              <w:rPr>
                <w:noProof/>
                <w:webHidden/>
              </w:rPr>
              <w:tab/>
            </w:r>
            <w:r>
              <w:rPr>
                <w:noProof/>
                <w:webHidden/>
              </w:rPr>
              <w:fldChar w:fldCharType="begin"/>
            </w:r>
            <w:r>
              <w:rPr>
                <w:noProof/>
                <w:webHidden/>
              </w:rPr>
              <w:instrText xml:space="preserve"> PAGEREF _Toc209427139 \h </w:instrText>
            </w:r>
            <w:r>
              <w:rPr>
                <w:noProof/>
                <w:webHidden/>
              </w:rPr>
            </w:r>
            <w:r>
              <w:rPr>
                <w:noProof/>
                <w:webHidden/>
              </w:rPr>
              <w:fldChar w:fldCharType="separate"/>
            </w:r>
            <w:r>
              <w:rPr>
                <w:noProof/>
                <w:webHidden/>
              </w:rPr>
              <w:t>9</w:t>
            </w:r>
            <w:r>
              <w:rPr>
                <w:noProof/>
                <w:webHidden/>
              </w:rPr>
              <w:fldChar w:fldCharType="end"/>
            </w:r>
          </w:hyperlink>
        </w:p>
        <w:p w14:paraId="117AE359" w14:textId="019C3A9C" w:rsidR="00C761A3" w:rsidRDefault="00C761A3">
          <w:pPr>
            <w:pStyle w:val="11"/>
            <w:rPr>
              <w:rFonts w:eastAsiaTheme="minorEastAsia"/>
              <w:noProof/>
              <w:kern w:val="2"/>
              <w:sz w:val="24"/>
              <w:szCs w:val="24"/>
              <w:lang w:val="de-DE" w:eastAsia="de-DE"/>
              <w14:ligatures w14:val="standardContextual"/>
            </w:rPr>
          </w:pPr>
          <w:hyperlink w:anchor="_Toc209427140" w:history="1">
            <w:r w:rsidRPr="00CC5C29">
              <w:rPr>
                <w:rStyle w:val="-0"/>
                <w:b/>
                <w:bCs/>
                <w:noProof/>
                <w:lang w:val="el-GR"/>
              </w:rPr>
              <w:t>ΑΝΑΛΥΣΗ ΕΥΡΥΜΑΤΩΝ</w:t>
            </w:r>
            <w:r>
              <w:rPr>
                <w:noProof/>
                <w:webHidden/>
              </w:rPr>
              <w:tab/>
            </w:r>
            <w:r>
              <w:rPr>
                <w:noProof/>
                <w:webHidden/>
              </w:rPr>
              <w:fldChar w:fldCharType="begin"/>
            </w:r>
            <w:r>
              <w:rPr>
                <w:noProof/>
                <w:webHidden/>
              </w:rPr>
              <w:instrText xml:space="preserve"> PAGEREF _Toc209427140 \h </w:instrText>
            </w:r>
            <w:r>
              <w:rPr>
                <w:noProof/>
                <w:webHidden/>
              </w:rPr>
            </w:r>
            <w:r>
              <w:rPr>
                <w:noProof/>
                <w:webHidden/>
              </w:rPr>
              <w:fldChar w:fldCharType="separate"/>
            </w:r>
            <w:r>
              <w:rPr>
                <w:noProof/>
                <w:webHidden/>
              </w:rPr>
              <w:t>11</w:t>
            </w:r>
            <w:r>
              <w:rPr>
                <w:noProof/>
                <w:webHidden/>
              </w:rPr>
              <w:fldChar w:fldCharType="end"/>
            </w:r>
          </w:hyperlink>
        </w:p>
        <w:p w14:paraId="3270908B" w14:textId="3364C8AF" w:rsidR="00C761A3" w:rsidRDefault="00C761A3">
          <w:pPr>
            <w:pStyle w:val="20"/>
            <w:tabs>
              <w:tab w:val="left" w:pos="720"/>
              <w:tab w:val="right" w:leader="dot" w:pos="8352"/>
            </w:tabs>
            <w:rPr>
              <w:rFonts w:eastAsiaTheme="minorEastAsia"/>
              <w:noProof/>
              <w:kern w:val="2"/>
              <w:sz w:val="24"/>
              <w:szCs w:val="24"/>
              <w:lang w:val="de-DE" w:eastAsia="de-DE"/>
              <w14:ligatures w14:val="standardContextual"/>
            </w:rPr>
          </w:pPr>
          <w:hyperlink w:anchor="_Toc209427141" w:history="1">
            <w:r w:rsidRPr="00CC5C29">
              <w:rPr>
                <w:rStyle w:val="-0"/>
                <w:rFonts w:cstheme="minorHAnsi"/>
                <w:noProof/>
              </w:rPr>
              <w:t>1.</w:t>
            </w:r>
            <w:r>
              <w:rPr>
                <w:rFonts w:eastAsiaTheme="minorEastAsia"/>
                <w:noProof/>
                <w:kern w:val="2"/>
                <w:sz w:val="24"/>
                <w:szCs w:val="24"/>
                <w:lang w:val="de-DE" w:eastAsia="de-DE"/>
                <w14:ligatures w14:val="standardContextual"/>
              </w:rPr>
              <w:tab/>
            </w:r>
            <w:r w:rsidRPr="00CC5C29">
              <w:rPr>
                <w:rStyle w:val="-0"/>
                <w:rFonts w:cstheme="minorHAnsi"/>
                <w:noProof/>
              </w:rPr>
              <w:t>Φτώχεια και διεύρυνση ανισότητας</w:t>
            </w:r>
            <w:r>
              <w:rPr>
                <w:noProof/>
                <w:webHidden/>
              </w:rPr>
              <w:tab/>
            </w:r>
            <w:r>
              <w:rPr>
                <w:noProof/>
                <w:webHidden/>
              </w:rPr>
              <w:fldChar w:fldCharType="begin"/>
            </w:r>
            <w:r>
              <w:rPr>
                <w:noProof/>
                <w:webHidden/>
              </w:rPr>
              <w:instrText xml:space="preserve"> PAGEREF _Toc209427141 \h </w:instrText>
            </w:r>
            <w:r>
              <w:rPr>
                <w:noProof/>
                <w:webHidden/>
              </w:rPr>
            </w:r>
            <w:r>
              <w:rPr>
                <w:noProof/>
                <w:webHidden/>
              </w:rPr>
              <w:fldChar w:fldCharType="separate"/>
            </w:r>
            <w:r>
              <w:rPr>
                <w:noProof/>
                <w:webHidden/>
              </w:rPr>
              <w:t>11</w:t>
            </w:r>
            <w:r>
              <w:rPr>
                <w:noProof/>
                <w:webHidden/>
              </w:rPr>
              <w:fldChar w:fldCharType="end"/>
            </w:r>
          </w:hyperlink>
        </w:p>
        <w:p w14:paraId="2365FBB7" w14:textId="3ECFC458" w:rsidR="00C761A3" w:rsidRDefault="00C761A3">
          <w:pPr>
            <w:pStyle w:val="20"/>
            <w:tabs>
              <w:tab w:val="left" w:pos="720"/>
              <w:tab w:val="right" w:leader="dot" w:pos="8352"/>
            </w:tabs>
            <w:rPr>
              <w:rFonts w:eastAsiaTheme="minorEastAsia"/>
              <w:noProof/>
              <w:kern w:val="2"/>
              <w:sz w:val="24"/>
              <w:szCs w:val="24"/>
              <w:lang w:val="de-DE" w:eastAsia="de-DE"/>
              <w14:ligatures w14:val="standardContextual"/>
            </w:rPr>
          </w:pPr>
          <w:hyperlink w:anchor="_Toc209427142" w:history="1">
            <w:r w:rsidRPr="00CC5C29">
              <w:rPr>
                <w:rStyle w:val="-0"/>
                <w:rFonts w:cstheme="minorHAnsi"/>
                <w:noProof/>
              </w:rPr>
              <w:t>2.</w:t>
            </w:r>
            <w:r>
              <w:rPr>
                <w:rFonts w:eastAsiaTheme="minorEastAsia"/>
                <w:noProof/>
                <w:kern w:val="2"/>
                <w:sz w:val="24"/>
                <w:szCs w:val="24"/>
                <w:lang w:val="de-DE" w:eastAsia="de-DE"/>
                <w14:ligatures w14:val="standardContextual"/>
              </w:rPr>
              <w:tab/>
            </w:r>
            <w:r w:rsidRPr="00CC5C29">
              <w:rPr>
                <w:rStyle w:val="-0"/>
                <w:rFonts w:cstheme="minorHAnsi"/>
                <w:noProof/>
              </w:rPr>
              <w:t>Εργασιακός αποκλεισμός ατόμων με αναπηρία</w:t>
            </w:r>
            <w:r>
              <w:rPr>
                <w:noProof/>
                <w:webHidden/>
              </w:rPr>
              <w:tab/>
            </w:r>
            <w:r>
              <w:rPr>
                <w:noProof/>
                <w:webHidden/>
              </w:rPr>
              <w:fldChar w:fldCharType="begin"/>
            </w:r>
            <w:r>
              <w:rPr>
                <w:noProof/>
                <w:webHidden/>
              </w:rPr>
              <w:instrText xml:space="preserve"> PAGEREF _Toc209427142 \h </w:instrText>
            </w:r>
            <w:r>
              <w:rPr>
                <w:noProof/>
                <w:webHidden/>
              </w:rPr>
            </w:r>
            <w:r>
              <w:rPr>
                <w:noProof/>
                <w:webHidden/>
              </w:rPr>
              <w:fldChar w:fldCharType="separate"/>
            </w:r>
            <w:r>
              <w:rPr>
                <w:noProof/>
                <w:webHidden/>
              </w:rPr>
              <w:t>18</w:t>
            </w:r>
            <w:r>
              <w:rPr>
                <w:noProof/>
                <w:webHidden/>
              </w:rPr>
              <w:fldChar w:fldCharType="end"/>
            </w:r>
          </w:hyperlink>
        </w:p>
        <w:p w14:paraId="1A765F71" w14:textId="4189E2D9" w:rsidR="00C761A3" w:rsidRDefault="00C761A3">
          <w:pPr>
            <w:pStyle w:val="20"/>
            <w:tabs>
              <w:tab w:val="left" w:pos="720"/>
              <w:tab w:val="right" w:leader="dot" w:pos="8352"/>
            </w:tabs>
            <w:rPr>
              <w:rFonts w:eastAsiaTheme="minorEastAsia"/>
              <w:noProof/>
              <w:kern w:val="2"/>
              <w:sz w:val="24"/>
              <w:szCs w:val="24"/>
              <w:lang w:val="de-DE" w:eastAsia="de-DE"/>
              <w14:ligatures w14:val="standardContextual"/>
            </w:rPr>
          </w:pPr>
          <w:hyperlink w:anchor="_Toc209427143" w:history="1">
            <w:r w:rsidRPr="00CC5C29">
              <w:rPr>
                <w:rStyle w:val="-0"/>
                <w:rFonts w:cstheme="minorHAnsi"/>
                <w:noProof/>
              </w:rPr>
              <w:t>3.</w:t>
            </w:r>
            <w:r>
              <w:rPr>
                <w:rFonts w:eastAsiaTheme="minorEastAsia"/>
                <w:noProof/>
                <w:kern w:val="2"/>
                <w:sz w:val="24"/>
                <w:szCs w:val="24"/>
                <w:lang w:val="de-DE" w:eastAsia="de-DE"/>
                <w14:ligatures w14:val="standardContextual"/>
              </w:rPr>
              <w:tab/>
            </w:r>
            <w:r w:rsidRPr="00CC5C29">
              <w:rPr>
                <w:rStyle w:val="-0"/>
                <w:rFonts w:cstheme="minorHAnsi"/>
                <w:noProof/>
              </w:rPr>
              <w:t>Ελλειμματική κοινωνική προστασία</w:t>
            </w:r>
            <w:r>
              <w:rPr>
                <w:noProof/>
                <w:webHidden/>
              </w:rPr>
              <w:tab/>
            </w:r>
            <w:r>
              <w:rPr>
                <w:noProof/>
                <w:webHidden/>
              </w:rPr>
              <w:fldChar w:fldCharType="begin"/>
            </w:r>
            <w:r>
              <w:rPr>
                <w:noProof/>
                <w:webHidden/>
              </w:rPr>
              <w:instrText xml:space="preserve"> PAGEREF _Toc209427143 \h </w:instrText>
            </w:r>
            <w:r>
              <w:rPr>
                <w:noProof/>
                <w:webHidden/>
              </w:rPr>
            </w:r>
            <w:r>
              <w:rPr>
                <w:noProof/>
                <w:webHidden/>
              </w:rPr>
              <w:fldChar w:fldCharType="separate"/>
            </w:r>
            <w:r>
              <w:rPr>
                <w:noProof/>
                <w:webHidden/>
              </w:rPr>
              <w:t>20</w:t>
            </w:r>
            <w:r>
              <w:rPr>
                <w:noProof/>
                <w:webHidden/>
              </w:rPr>
              <w:fldChar w:fldCharType="end"/>
            </w:r>
          </w:hyperlink>
        </w:p>
        <w:p w14:paraId="4A384239" w14:textId="1295F3FC" w:rsidR="00C761A3" w:rsidRDefault="00C761A3">
          <w:pPr>
            <w:pStyle w:val="20"/>
            <w:tabs>
              <w:tab w:val="left" w:pos="720"/>
              <w:tab w:val="right" w:leader="dot" w:pos="8352"/>
            </w:tabs>
            <w:rPr>
              <w:rFonts w:eastAsiaTheme="minorEastAsia"/>
              <w:noProof/>
              <w:kern w:val="2"/>
              <w:sz w:val="24"/>
              <w:szCs w:val="24"/>
              <w:lang w:val="de-DE" w:eastAsia="de-DE"/>
              <w14:ligatures w14:val="standardContextual"/>
            </w:rPr>
          </w:pPr>
          <w:hyperlink w:anchor="_Toc209427144" w:history="1">
            <w:r w:rsidRPr="00CC5C29">
              <w:rPr>
                <w:rStyle w:val="-0"/>
                <w:rFonts w:cstheme="minorHAnsi"/>
                <w:noProof/>
              </w:rPr>
              <w:t>4.</w:t>
            </w:r>
            <w:r>
              <w:rPr>
                <w:rFonts w:eastAsiaTheme="minorEastAsia"/>
                <w:noProof/>
                <w:kern w:val="2"/>
                <w:sz w:val="24"/>
                <w:szCs w:val="24"/>
                <w:lang w:val="de-DE" w:eastAsia="de-DE"/>
                <w14:ligatures w14:val="standardContextual"/>
              </w:rPr>
              <w:tab/>
            </w:r>
            <w:r w:rsidRPr="00CC5C29">
              <w:rPr>
                <w:rStyle w:val="-0"/>
                <w:rFonts w:cstheme="minorHAnsi"/>
                <w:noProof/>
              </w:rPr>
              <w:t>Υγεία από «την τσέπη των νοικοκυριών»</w:t>
            </w:r>
            <w:r>
              <w:rPr>
                <w:noProof/>
                <w:webHidden/>
              </w:rPr>
              <w:tab/>
            </w:r>
            <w:r>
              <w:rPr>
                <w:noProof/>
                <w:webHidden/>
              </w:rPr>
              <w:fldChar w:fldCharType="begin"/>
            </w:r>
            <w:r>
              <w:rPr>
                <w:noProof/>
                <w:webHidden/>
              </w:rPr>
              <w:instrText xml:space="preserve"> PAGEREF _Toc209427144 \h </w:instrText>
            </w:r>
            <w:r>
              <w:rPr>
                <w:noProof/>
                <w:webHidden/>
              </w:rPr>
            </w:r>
            <w:r>
              <w:rPr>
                <w:noProof/>
                <w:webHidden/>
              </w:rPr>
              <w:fldChar w:fldCharType="separate"/>
            </w:r>
            <w:r>
              <w:rPr>
                <w:noProof/>
                <w:webHidden/>
              </w:rPr>
              <w:t>22</w:t>
            </w:r>
            <w:r>
              <w:rPr>
                <w:noProof/>
                <w:webHidden/>
              </w:rPr>
              <w:fldChar w:fldCharType="end"/>
            </w:r>
          </w:hyperlink>
        </w:p>
        <w:p w14:paraId="20733BC2" w14:textId="1DBDB436" w:rsidR="00C761A3" w:rsidRDefault="00C761A3">
          <w:r>
            <w:rPr>
              <w:b/>
              <w:bCs/>
              <w:lang w:val="el-GR"/>
            </w:rPr>
            <w:fldChar w:fldCharType="end"/>
          </w:r>
        </w:p>
      </w:sdtContent>
    </w:sdt>
    <w:p w14:paraId="36469A6D" w14:textId="250D5897" w:rsidR="007D51AE" w:rsidRPr="00C10021" w:rsidRDefault="00000000" w:rsidP="003C7725">
      <w:pPr>
        <w:spacing w:before="240"/>
        <w:jc w:val="center"/>
        <w:rPr>
          <w:rFonts w:asciiTheme="majorHAnsi" w:eastAsiaTheme="majorEastAsia" w:hAnsiTheme="majorHAnsi" w:cstheme="majorBidi"/>
          <w:color w:val="000000" w:themeColor="text1"/>
          <w:sz w:val="32"/>
          <w:szCs w:val="32"/>
          <w:u w:val="single"/>
        </w:rPr>
      </w:pPr>
      <w:r w:rsidRPr="00C10021">
        <w:rPr>
          <w:rFonts w:asciiTheme="majorHAnsi" w:eastAsiaTheme="majorEastAsia" w:hAnsiTheme="majorHAnsi" w:cstheme="majorBidi"/>
          <w:color w:val="000000" w:themeColor="text1"/>
          <w:sz w:val="32"/>
          <w:szCs w:val="32"/>
          <w:u w:val="single"/>
        </w:rPr>
        <w:t>ΓΡΑΦ</w:t>
      </w:r>
      <w:r w:rsidRPr="00C10021">
        <w:rPr>
          <w:rFonts w:asciiTheme="majorHAnsi" w:eastAsiaTheme="majorEastAsia" w:hAnsiTheme="majorHAnsi" w:cstheme="majorBidi"/>
          <w:color w:val="000000" w:themeColor="text1"/>
          <w:sz w:val="32"/>
          <w:szCs w:val="32"/>
          <w:u w:val="single"/>
          <w:lang w:val="el-GR"/>
        </w:rPr>
        <w:t>Η</w:t>
      </w:r>
      <w:r w:rsidRPr="00C10021">
        <w:rPr>
          <w:rFonts w:asciiTheme="majorHAnsi" w:eastAsiaTheme="majorEastAsia" w:hAnsiTheme="majorHAnsi" w:cstheme="majorBidi"/>
          <w:color w:val="000000" w:themeColor="text1"/>
          <w:sz w:val="32"/>
          <w:szCs w:val="32"/>
          <w:u w:val="single"/>
        </w:rPr>
        <w:t>ΜΑΤΑ</w:t>
      </w:r>
    </w:p>
    <w:p w14:paraId="20B22DB3" w14:textId="568C14C9" w:rsidR="00C761A3" w:rsidRDefault="00000000">
      <w:pPr>
        <w:pStyle w:val="af0"/>
        <w:tabs>
          <w:tab w:val="right" w:leader="dot" w:pos="8352"/>
        </w:tabs>
        <w:rPr>
          <w:rFonts w:eastAsiaTheme="minorEastAsia"/>
          <w:noProof/>
          <w:kern w:val="2"/>
          <w:sz w:val="24"/>
          <w:szCs w:val="24"/>
          <w:lang w:val="de-DE" w:eastAsia="de-DE"/>
          <w14:ligatures w14:val="standardContextual"/>
        </w:rPr>
      </w:pPr>
      <w:r w:rsidRPr="00A95E35">
        <w:rPr>
          <w:rFonts w:cstheme="minorHAnsi"/>
          <w:highlight w:val="yellow"/>
          <w:lang w:val="el-GR"/>
        </w:rPr>
        <w:fldChar w:fldCharType="begin"/>
      </w:r>
      <w:r w:rsidRPr="00A95E35">
        <w:rPr>
          <w:rFonts w:cstheme="minorHAnsi"/>
          <w:highlight w:val="yellow"/>
          <w:lang w:val="el-GR"/>
        </w:rPr>
        <w:instrText xml:space="preserve"> TOC \h \z \c "Γράφημα" </w:instrText>
      </w:r>
      <w:r w:rsidRPr="00A95E35">
        <w:rPr>
          <w:rFonts w:cstheme="minorHAnsi"/>
          <w:highlight w:val="yellow"/>
          <w:lang w:val="el-GR"/>
        </w:rPr>
        <w:fldChar w:fldCharType="separate"/>
      </w:r>
      <w:hyperlink w:anchor="_Toc209426977" w:history="1">
        <w:r w:rsidR="00C761A3" w:rsidRPr="004B5C5E">
          <w:rPr>
            <w:rStyle w:val="-0"/>
            <w:rFonts w:asciiTheme="majorHAnsi" w:hAnsiTheme="majorHAnsi" w:cstheme="majorHAnsi"/>
            <w:b/>
            <w:bCs/>
            <w:noProof/>
            <w:lang w:val="el-GR"/>
          </w:rPr>
          <w:t>Γράφημα 1: Δείκτης κινδύνου φτώχειας ή/και κοινωνικού αποκλεισμού στα άτομα με αναπηρία και χωρίς αναπηρία 16 ετών και άνω</w:t>
        </w:r>
        <w:r w:rsidR="00C761A3">
          <w:rPr>
            <w:noProof/>
            <w:webHidden/>
          </w:rPr>
          <w:tab/>
        </w:r>
        <w:r w:rsidR="00C761A3">
          <w:rPr>
            <w:noProof/>
            <w:webHidden/>
          </w:rPr>
          <w:fldChar w:fldCharType="begin"/>
        </w:r>
        <w:r w:rsidR="00C761A3">
          <w:rPr>
            <w:noProof/>
            <w:webHidden/>
          </w:rPr>
          <w:instrText xml:space="preserve"> PAGEREF _Toc209426977 \h </w:instrText>
        </w:r>
        <w:r w:rsidR="00C761A3">
          <w:rPr>
            <w:noProof/>
            <w:webHidden/>
          </w:rPr>
        </w:r>
        <w:r w:rsidR="00C761A3">
          <w:rPr>
            <w:noProof/>
            <w:webHidden/>
          </w:rPr>
          <w:fldChar w:fldCharType="separate"/>
        </w:r>
        <w:r w:rsidR="00C761A3">
          <w:rPr>
            <w:noProof/>
            <w:webHidden/>
          </w:rPr>
          <w:t>11</w:t>
        </w:r>
        <w:r w:rsidR="00C761A3">
          <w:rPr>
            <w:noProof/>
            <w:webHidden/>
          </w:rPr>
          <w:fldChar w:fldCharType="end"/>
        </w:r>
      </w:hyperlink>
    </w:p>
    <w:p w14:paraId="6E8FEABD" w14:textId="2913EAA9" w:rsidR="00C761A3" w:rsidRDefault="00C761A3">
      <w:pPr>
        <w:pStyle w:val="af0"/>
        <w:tabs>
          <w:tab w:val="right" w:leader="dot" w:pos="8352"/>
        </w:tabs>
        <w:rPr>
          <w:rFonts w:eastAsiaTheme="minorEastAsia"/>
          <w:noProof/>
          <w:kern w:val="2"/>
          <w:sz w:val="24"/>
          <w:szCs w:val="24"/>
          <w:lang w:val="de-DE" w:eastAsia="de-DE"/>
          <w14:ligatures w14:val="standardContextual"/>
        </w:rPr>
      </w:pPr>
      <w:hyperlink w:anchor="_Toc209426978" w:history="1">
        <w:r w:rsidRPr="004B5C5E">
          <w:rPr>
            <w:rStyle w:val="-0"/>
            <w:rFonts w:asciiTheme="majorHAnsi" w:hAnsiTheme="majorHAnsi" w:cstheme="majorHAnsi"/>
            <w:b/>
            <w:bCs/>
            <w:noProof/>
            <w:lang w:val="el-GR"/>
          </w:rPr>
          <w:t>Γράφημα 2: Δείκτης κινδύνου φτώχειας ή/και κοινωνικού αποκλεισμού στα άτομα με αναπηρία και χωρίς αναπηρία κατά ομάδα ηλικίας και σοβαρότητα αναπηρίας</w:t>
        </w:r>
        <w:r>
          <w:rPr>
            <w:noProof/>
            <w:webHidden/>
          </w:rPr>
          <w:tab/>
        </w:r>
        <w:r>
          <w:rPr>
            <w:noProof/>
            <w:webHidden/>
          </w:rPr>
          <w:fldChar w:fldCharType="begin"/>
        </w:r>
        <w:r>
          <w:rPr>
            <w:noProof/>
            <w:webHidden/>
          </w:rPr>
          <w:instrText xml:space="preserve"> PAGEREF _Toc209426978 \h </w:instrText>
        </w:r>
        <w:r>
          <w:rPr>
            <w:noProof/>
            <w:webHidden/>
          </w:rPr>
        </w:r>
        <w:r>
          <w:rPr>
            <w:noProof/>
            <w:webHidden/>
          </w:rPr>
          <w:fldChar w:fldCharType="separate"/>
        </w:r>
        <w:r>
          <w:rPr>
            <w:noProof/>
            <w:webHidden/>
          </w:rPr>
          <w:t>13</w:t>
        </w:r>
        <w:r>
          <w:rPr>
            <w:noProof/>
            <w:webHidden/>
          </w:rPr>
          <w:fldChar w:fldCharType="end"/>
        </w:r>
      </w:hyperlink>
    </w:p>
    <w:p w14:paraId="222D5623" w14:textId="29244F38" w:rsidR="00C761A3" w:rsidRDefault="00C761A3">
      <w:pPr>
        <w:pStyle w:val="af0"/>
        <w:tabs>
          <w:tab w:val="right" w:leader="dot" w:pos="8352"/>
        </w:tabs>
        <w:rPr>
          <w:rFonts w:eastAsiaTheme="minorEastAsia"/>
          <w:noProof/>
          <w:kern w:val="2"/>
          <w:sz w:val="24"/>
          <w:szCs w:val="24"/>
          <w:lang w:val="de-DE" w:eastAsia="de-DE"/>
          <w14:ligatures w14:val="standardContextual"/>
        </w:rPr>
      </w:pPr>
      <w:hyperlink w:anchor="_Toc209426979" w:history="1">
        <w:r w:rsidRPr="004B5C5E">
          <w:rPr>
            <w:rStyle w:val="-0"/>
            <w:rFonts w:asciiTheme="majorHAnsi" w:hAnsiTheme="majorHAnsi" w:cstheme="majorHAnsi"/>
            <w:b/>
            <w:bCs/>
            <w:noProof/>
            <w:lang w:val="el-GR"/>
          </w:rPr>
          <w:t>Γράφημα 3: Επίδραση των κοινωνικών μεταβιβάσεων (συμπεριλαμβανομένων των συντάξεων) στη μείωση της φτώχειας των ατόμων με μέτρια  και σοβαρή αναπηρία 16-64 ετών (2024)</w:t>
        </w:r>
        <w:r>
          <w:rPr>
            <w:noProof/>
            <w:webHidden/>
          </w:rPr>
          <w:tab/>
        </w:r>
        <w:r>
          <w:rPr>
            <w:noProof/>
            <w:webHidden/>
          </w:rPr>
          <w:fldChar w:fldCharType="begin"/>
        </w:r>
        <w:r>
          <w:rPr>
            <w:noProof/>
            <w:webHidden/>
          </w:rPr>
          <w:instrText xml:space="preserve"> PAGEREF _Toc209426979 \h </w:instrText>
        </w:r>
        <w:r>
          <w:rPr>
            <w:noProof/>
            <w:webHidden/>
          </w:rPr>
        </w:r>
        <w:r>
          <w:rPr>
            <w:noProof/>
            <w:webHidden/>
          </w:rPr>
          <w:fldChar w:fldCharType="separate"/>
        </w:r>
        <w:r>
          <w:rPr>
            <w:noProof/>
            <w:webHidden/>
          </w:rPr>
          <w:t>20</w:t>
        </w:r>
        <w:r>
          <w:rPr>
            <w:noProof/>
            <w:webHidden/>
          </w:rPr>
          <w:fldChar w:fldCharType="end"/>
        </w:r>
      </w:hyperlink>
    </w:p>
    <w:p w14:paraId="33C81A33" w14:textId="3F5314B1" w:rsidR="003C7725" w:rsidRDefault="00000000" w:rsidP="007F7EFE">
      <w:pPr>
        <w:spacing w:after="120" w:line="240" w:lineRule="auto"/>
        <w:ind w:left="567" w:hanging="567"/>
        <w:rPr>
          <w:rFonts w:cstheme="minorHAnsi"/>
          <w:highlight w:val="yellow"/>
          <w:lang w:val="el-GR"/>
        </w:rPr>
      </w:pPr>
      <w:r w:rsidRPr="00A95E35">
        <w:rPr>
          <w:rFonts w:cstheme="minorHAnsi"/>
          <w:highlight w:val="yellow"/>
          <w:lang w:val="el-GR"/>
        </w:rPr>
        <w:fldChar w:fldCharType="end"/>
      </w:r>
    </w:p>
    <w:p w14:paraId="0E4ED80D" w14:textId="77777777" w:rsidR="00165F59" w:rsidRDefault="00165F59" w:rsidP="007F7EFE">
      <w:pPr>
        <w:spacing w:after="120" w:line="240" w:lineRule="auto"/>
        <w:ind w:left="567" w:hanging="567"/>
        <w:rPr>
          <w:rFonts w:cstheme="minorHAnsi"/>
          <w:highlight w:val="yellow"/>
          <w:lang w:val="el-GR"/>
        </w:rPr>
      </w:pPr>
    </w:p>
    <w:p w14:paraId="19BE2D00" w14:textId="455EC088" w:rsidR="00165F59" w:rsidRPr="00165F59" w:rsidRDefault="00165F59" w:rsidP="00165F59">
      <w:pPr>
        <w:spacing w:before="240"/>
        <w:jc w:val="center"/>
        <w:rPr>
          <w:rFonts w:asciiTheme="majorHAnsi" w:eastAsiaTheme="majorEastAsia" w:hAnsiTheme="majorHAnsi" w:cstheme="majorBidi"/>
          <w:color w:val="000000" w:themeColor="text1"/>
          <w:sz w:val="32"/>
          <w:szCs w:val="32"/>
          <w:u w:val="single"/>
          <w:lang w:val="el-GR"/>
        </w:rPr>
      </w:pPr>
      <w:r>
        <w:rPr>
          <w:rFonts w:asciiTheme="majorHAnsi" w:eastAsiaTheme="majorEastAsia" w:hAnsiTheme="majorHAnsi" w:cstheme="majorBidi"/>
          <w:color w:val="000000" w:themeColor="text1"/>
          <w:sz w:val="32"/>
          <w:szCs w:val="32"/>
          <w:u w:val="single"/>
          <w:lang w:val="el-GR"/>
        </w:rPr>
        <w:t>ΠΙΝΑΚΕΣ</w:t>
      </w:r>
    </w:p>
    <w:p w14:paraId="0978DC30" w14:textId="6E2AB5B3" w:rsidR="00165F59" w:rsidRDefault="00165F59">
      <w:pPr>
        <w:pStyle w:val="af0"/>
        <w:tabs>
          <w:tab w:val="right" w:leader="dot" w:pos="8352"/>
        </w:tabs>
        <w:rPr>
          <w:rFonts w:eastAsiaTheme="minorEastAsia"/>
          <w:noProof/>
          <w:kern w:val="2"/>
          <w:sz w:val="24"/>
          <w:szCs w:val="24"/>
          <w:lang w:val="de-DE" w:eastAsia="de-DE"/>
          <w14:ligatures w14:val="standardContextual"/>
        </w:rPr>
      </w:pPr>
      <w:r>
        <w:rPr>
          <w:rFonts w:cstheme="minorHAnsi"/>
          <w:highlight w:val="yellow"/>
          <w:lang w:val="el-GR"/>
        </w:rPr>
        <w:fldChar w:fldCharType="begin"/>
      </w:r>
      <w:r>
        <w:rPr>
          <w:rFonts w:cstheme="minorHAnsi"/>
          <w:highlight w:val="yellow"/>
          <w:lang w:val="el-GR"/>
        </w:rPr>
        <w:instrText xml:space="preserve"> TOC \h \z \c "Πίνακας" </w:instrText>
      </w:r>
      <w:r>
        <w:rPr>
          <w:rFonts w:cstheme="minorHAnsi"/>
          <w:highlight w:val="yellow"/>
          <w:lang w:val="el-GR"/>
        </w:rPr>
        <w:fldChar w:fldCharType="separate"/>
      </w:r>
      <w:hyperlink w:anchor="_Toc209430788" w:history="1">
        <w:r w:rsidRPr="00B41C56">
          <w:rPr>
            <w:rStyle w:val="-0"/>
            <w:rFonts w:asciiTheme="majorHAnsi" w:hAnsiTheme="majorHAnsi" w:cstheme="majorHAnsi"/>
            <w:b/>
            <w:bCs/>
            <w:noProof/>
            <w:lang w:val="el-GR"/>
          </w:rPr>
          <w:t>Πίνακας 1: Βασικά ευρήματα: Το τετράπτυχο της περιθωριοποίησης</w:t>
        </w:r>
        <w:r>
          <w:rPr>
            <w:noProof/>
            <w:webHidden/>
          </w:rPr>
          <w:tab/>
        </w:r>
        <w:r>
          <w:rPr>
            <w:noProof/>
            <w:webHidden/>
          </w:rPr>
          <w:fldChar w:fldCharType="begin"/>
        </w:r>
        <w:r>
          <w:rPr>
            <w:noProof/>
            <w:webHidden/>
          </w:rPr>
          <w:instrText xml:space="preserve"> PAGEREF _Toc209430788 \h </w:instrText>
        </w:r>
        <w:r>
          <w:rPr>
            <w:noProof/>
            <w:webHidden/>
          </w:rPr>
        </w:r>
        <w:r>
          <w:rPr>
            <w:noProof/>
            <w:webHidden/>
          </w:rPr>
          <w:fldChar w:fldCharType="separate"/>
        </w:r>
        <w:r>
          <w:rPr>
            <w:noProof/>
            <w:webHidden/>
          </w:rPr>
          <w:t>7</w:t>
        </w:r>
        <w:r>
          <w:rPr>
            <w:noProof/>
            <w:webHidden/>
          </w:rPr>
          <w:fldChar w:fldCharType="end"/>
        </w:r>
      </w:hyperlink>
    </w:p>
    <w:p w14:paraId="7CA3E37E" w14:textId="727E9EF8" w:rsidR="00165F59" w:rsidRDefault="00165F59">
      <w:pPr>
        <w:pStyle w:val="af0"/>
        <w:tabs>
          <w:tab w:val="right" w:leader="dot" w:pos="8352"/>
        </w:tabs>
        <w:rPr>
          <w:rFonts w:eastAsiaTheme="minorEastAsia"/>
          <w:noProof/>
          <w:kern w:val="2"/>
          <w:sz w:val="24"/>
          <w:szCs w:val="24"/>
          <w:lang w:val="de-DE" w:eastAsia="de-DE"/>
          <w14:ligatures w14:val="standardContextual"/>
        </w:rPr>
      </w:pPr>
      <w:hyperlink w:anchor="_Toc209430789" w:history="1">
        <w:r w:rsidRPr="00B41C56">
          <w:rPr>
            <w:rStyle w:val="-0"/>
            <w:rFonts w:asciiTheme="majorHAnsi" w:hAnsiTheme="majorHAnsi" w:cstheme="majorHAnsi"/>
            <w:b/>
            <w:bCs/>
            <w:noProof/>
            <w:lang w:val="el-GR"/>
          </w:rPr>
          <w:t>Πίνακας 2: Ποσοστό ατόμων με αναπηρία 16 ετών και άνω και ληξιπρόθεσμες οφειλές (ενυπόθηκο δάνειο ή ενοίκιο, λογαριασμοί κοινής ωφελείας ή αγορά με δόσεις) στις χώρες της ΕΕ (</w:t>
        </w:r>
        <w:r w:rsidRPr="00B41C56">
          <w:rPr>
            <w:rStyle w:val="-0"/>
            <w:rFonts w:asciiTheme="majorHAnsi" w:hAnsiTheme="majorHAnsi" w:cstheme="majorHAnsi"/>
            <w:b/>
            <w:bCs/>
            <w:noProof/>
          </w:rPr>
          <w:t>Eurostat</w:t>
        </w:r>
        <w:r w:rsidRPr="00B41C56">
          <w:rPr>
            <w:rStyle w:val="-0"/>
            <w:rFonts w:asciiTheme="majorHAnsi" w:hAnsiTheme="majorHAnsi" w:cstheme="majorHAnsi"/>
            <w:b/>
            <w:bCs/>
            <w:noProof/>
            <w:lang w:val="el-GR"/>
          </w:rPr>
          <w:t>,2024)</w:t>
        </w:r>
        <w:r>
          <w:rPr>
            <w:noProof/>
            <w:webHidden/>
          </w:rPr>
          <w:tab/>
        </w:r>
        <w:r>
          <w:rPr>
            <w:noProof/>
            <w:webHidden/>
          </w:rPr>
          <w:fldChar w:fldCharType="begin"/>
        </w:r>
        <w:r>
          <w:rPr>
            <w:noProof/>
            <w:webHidden/>
          </w:rPr>
          <w:instrText xml:space="preserve"> PAGEREF _Toc209430789 \h </w:instrText>
        </w:r>
        <w:r>
          <w:rPr>
            <w:noProof/>
            <w:webHidden/>
          </w:rPr>
        </w:r>
        <w:r>
          <w:rPr>
            <w:noProof/>
            <w:webHidden/>
          </w:rPr>
          <w:fldChar w:fldCharType="separate"/>
        </w:r>
        <w:r>
          <w:rPr>
            <w:noProof/>
            <w:webHidden/>
          </w:rPr>
          <w:t>15</w:t>
        </w:r>
        <w:r>
          <w:rPr>
            <w:noProof/>
            <w:webHidden/>
          </w:rPr>
          <w:fldChar w:fldCharType="end"/>
        </w:r>
      </w:hyperlink>
    </w:p>
    <w:p w14:paraId="365B529C" w14:textId="310500B4" w:rsidR="00165F59" w:rsidRDefault="00165F59">
      <w:pPr>
        <w:pStyle w:val="af0"/>
        <w:tabs>
          <w:tab w:val="right" w:leader="dot" w:pos="8352"/>
        </w:tabs>
        <w:rPr>
          <w:rFonts w:eastAsiaTheme="minorEastAsia"/>
          <w:noProof/>
          <w:kern w:val="2"/>
          <w:sz w:val="24"/>
          <w:szCs w:val="24"/>
          <w:lang w:val="de-DE" w:eastAsia="de-DE"/>
          <w14:ligatures w14:val="standardContextual"/>
        </w:rPr>
      </w:pPr>
      <w:hyperlink w:anchor="_Toc209430790" w:history="1">
        <w:r w:rsidRPr="00B41C56">
          <w:rPr>
            <w:rStyle w:val="-0"/>
            <w:rFonts w:asciiTheme="majorHAnsi" w:hAnsiTheme="majorHAnsi" w:cstheme="majorHAnsi"/>
            <w:b/>
            <w:bCs/>
            <w:noProof/>
            <w:lang w:val="el-GR"/>
          </w:rPr>
          <w:t>Πίνακας 3: Ποσοστό ατόμων με αναπηρία 16 ετών και άνω και υπερβολική επιβάρυνση από το κόστος στέγασης στις χώρες της ΕΕ-27 (</w:t>
        </w:r>
        <w:r w:rsidRPr="00B41C56">
          <w:rPr>
            <w:rStyle w:val="-0"/>
            <w:rFonts w:asciiTheme="majorHAnsi" w:hAnsiTheme="majorHAnsi" w:cstheme="majorHAnsi"/>
            <w:b/>
            <w:bCs/>
            <w:noProof/>
          </w:rPr>
          <w:t>Eurostat</w:t>
        </w:r>
        <w:r w:rsidRPr="00B41C56">
          <w:rPr>
            <w:rStyle w:val="-0"/>
            <w:rFonts w:asciiTheme="majorHAnsi" w:hAnsiTheme="majorHAnsi" w:cstheme="majorHAnsi"/>
            <w:b/>
            <w:bCs/>
            <w:noProof/>
            <w:lang w:val="el-GR"/>
          </w:rPr>
          <w:t>, 2024)</w:t>
        </w:r>
        <w:r>
          <w:rPr>
            <w:noProof/>
            <w:webHidden/>
          </w:rPr>
          <w:tab/>
        </w:r>
        <w:r>
          <w:rPr>
            <w:noProof/>
            <w:webHidden/>
          </w:rPr>
          <w:fldChar w:fldCharType="begin"/>
        </w:r>
        <w:r>
          <w:rPr>
            <w:noProof/>
            <w:webHidden/>
          </w:rPr>
          <w:instrText xml:space="preserve"> PAGEREF _Toc209430790 \h </w:instrText>
        </w:r>
        <w:r>
          <w:rPr>
            <w:noProof/>
            <w:webHidden/>
          </w:rPr>
        </w:r>
        <w:r>
          <w:rPr>
            <w:noProof/>
            <w:webHidden/>
          </w:rPr>
          <w:fldChar w:fldCharType="separate"/>
        </w:r>
        <w:r>
          <w:rPr>
            <w:noProof/>
            <w:webHidden/>
          </w:rPr>
          <w:t>16</w:t>
        </w:r>
        <w:r>
          <w:rPr>
            <w:noProof/>
            <w:webHidden/>
          </w:rPr>
          <w:fldChar w:fldCharType="end"/>
        </w:r>
      </w:hyperlink>
    </w:p>
    <w:p w14:paraId="687CEBA2" w14:textId="0BCCFE26" w:rsidR="00165F59" w:rsidRDefault="00165F59">
      <w:pPr>
        <w:pStyle w:val="af0"/>
        <w:tabs>
          <w:tab w:val="right" w:leader="dot" w:pos="8352"/>
        </w:tabs>
        <w:rPr>
          <w:rFonts w:eastAsiaTheme="minorEastAsia"/>
          <w:noProof/>
          <w:kern w:val="2"/>
          <w:sz w:val="24"/>
          <w:szCs w:val="24"/>
          <w:lang w:val="de-DE" w:eastAsia="de-DE"/>
          <w14:ligatures w14:val="standardContextual"/>
        </w:rPr>
      </w:pPr>
      <w:hyperlink w:anchor="_Toc209430791" w:history="1">
        <w:r w:rsidRPr="00B41C56">
          <w:rPr>
            <w:rStyle w:val="-0"/>
            <w:rFonts w:asciiTheme="majorHAnsi" w:hAnsiTheme="majorHAnsi" w:cstheme="majorHAnsi"/>
            <w:b/>
            <w:bCs/>
            <w:noProof/>
            <w:lang w:val="el-GR"/>
          </w:rPr>
          <w:t>Πίνακας 4: Ποσοστό ατόμων με αναπηρία 20-64 ετών που συμμετέχουν στο εργατικό δυναμικό (Έρευνα Εργατικού Δυναμικού, 2024)</w:t>
        </w:r>
        <w:r>
          <w:rPr>
            <w:noProof/>
            <w:webHidden/>
          </w:rPr>
          <w:tab/>
        </w:r>
        <w:r>
          <w:rPr>
            <w:noProof/>
            <w:webHidden/>
          </w:rPr>
          <w:fldChar w:fldCharType="begin"/>
        </w:r>
        <w:r>
          <w:rPr>
            <w:noProof/>
            <w:webHidden/>
          </w:rPr>
          <w:instrText xml:space="preserve"> PAGEREF _Toc209430791 \h </w:instrText>
        </w:r>
        <w:r>
          <w:rPr>
            <w:noProof/>
            <w:webHidden/>
          </w:rPr>
        </w:r>
        <w:r>
          <w:rPr>
            <w:noProof/>
            <w:webHidden/>
          </w:rPr>
          <w:fldChar w:fldCharType="separate"/>
        </w:r>
        <w:r>
          <w:rPr>
            <w:noProof/>
            <w:webHidden/>
          </w:rPr>
          <w:t>18</w:t>
        </w:r>
        <w:r>
          <w:rPr>
            <w:noProof/>
            <w:webHidden/>
          </w:rPr>
          <w:fldChar w:fldCharType="end"/>
        </w:r>
      </w:hyperlink>
    </w:p>
    <w:p w14:paraId="1B689233" w14:textId="4A90EB91" w:rsidR="00165F59" w:rsidRDefault="00165F59">
      <w:pPr>
        <w:pStyle w:val="af0"/>
        <w:tabs>
          <w:tab w:val="right" w:leader="dot" w:pos="8352"/>
        </w:tabs>
        <w:rPr>
          <w:rFonts w:eastAsiaTheme="minorEastAsia"/>
          <w:noProof/>
          <w:kern w:val="2"/>
          <w:sz w:val="24"/>
          <w:szCs w:val="24"/>
          <w:lang w:val="de-DE" w:eastAsia="de-DE"/>
          <w14:ligatures w14:val="standardContextual"/>
        </w:rPr>
      </w:pPr>
      <w:hyperlink w:anchor="_Toc209430792" w:history="1">
        <w:r w:rsidRPr="00B41C56">
          <w:rPr>
            <w:rStyle w:val="-0"/>
            <w:rFonts w:asciiTheme="majorHAnsi" w:hAnsiTheme="majorHAnsi" w:cstheme="majorHAnsi"/>
            <w:b/>
            <w:bCs/>
            <w:noProof/>
            <w:lang w:val="el-GR"/>
          </w:rPr>
          <w:t xml:space="preserve">Πίνακας 5: Ποσοστό των άμεσων δαπανών υγειονομικής περίθαλψης από «την τσέπη των νοικοκυριών» επί των συνολικών δαπανών για την υγεία (out- of -pocket expenditure on health, </w:t>
        </w:r>
        <w:r w:rsidRPr="00B41C56">
          <w:rPr>
            <w:rStyle w:val="-0"/>
            <w:rFonts w:asciiTheme="majorHAnsi" w:hAnsiTheme="majorHAnsi" w:cstheme="majorHAnsi"/>
            <w:b/>
            <w:bCs/>
            <w:noProof/>
          </w:rPr>
          <w:t>Eurostat</w:t>
        </w:r>
        <w:r w:rsidRPr="00B41C56">
          <w:rPr>
            <w:rStyle w:val="-0"/>
            <w:rFonts w:asciiTheme="majorHAnsi" w:hAnsiTheme="majorHAnsi" w:cstheme="majorHAnsi"/>
            <w:b/>
            <w:bCs/>
            <w:noProof/>
            <w:lang w:val="el-GR"/>
          </w:rPr>
          <w:t>)</w:t>
        </w:r>
        <w:r>
          <w:rPr>
            <w:noProof/>
            <w:webHidden/>
          </w:rPr>
          <w:tab/>
        </w:r>
        <w:r>
          <w:rPr>
            <w:noProof/>
            <w:webHidden/>
          </w:rPr>
          <w:fldChar w:fldCharType="begin"/>
        </w:r>
        <w:r>
          <w:rPr>
            <w:noProof/>
            <w:webHidden/>
          </w:rPr>
          <w:instrText xml:space="preserve"> PAGEREF _Toc209430792 \h </w:instrText>
        </w:r>
        <w:r>
          <w:rPr>
            <w:noProof/>
            <w:webHidden/>
          </w:rPr>
        </w:r>
        <w:r>
          <w:rPr>
            <w:noProof/>
            <w:webHidden/>
          </w:rPr>
          <w:fldChar w:fldCharType="separate"/>
        </w:r>
        <w:r>
          <w:rPr>
            <w:noProof/>
            <w:webHidden/>
          </w:rPr>
          <w:t>22</w:t>
        </w:r>
        <w:r>
          <w:rPr>
            <w:noProof/>
            <w:webHidden/>
          </w:rPr>
          <w:fldChar w:fldCharType="end"/>
        </w:r>
      </w:hyperlink>
    </w:p>
    <w:p w14:paraId="7A2F5F96" w14:textId="15BD7B08" w:rsidR="00165F59" w:rsidRDefault="00165F59" w:rsidP="007F7EFE">
      <w:pPr>
        <w:spacing w:after="120" w:line="240" w:lineRule="auto"/>
        <w:ind w:left="567" w:hanging="567"/>
        <w:rPr>
          <w:rFonts w:cstheme="minorHAnsi"/>
          <w:highlight w:val="yellow"/>
          <w:lang w:val="el-GR"/>
        </w:rPr>
      </w:pPr>
      <w:r>
        <w:rPr>
          <w:rFonts w:cstheme="minorHAnsi"/>
          <w:highlight w:val="yellow"/>
          <w:lang w:val="el-GR"/>
        </w:rPr>
        <w:fldChar w:fldCharType="end"/>
      </w:r>
    </w:p>
    <w:p w14:paraId="4241FDD8" w14:textId="5BE7D036" w:rsidR="003C7725" w:rsidRDefault="003C7725">
      <w:pPr>
        <w:spacing w:after="0" w:line="240" w:lineRule="auto"/>
        <w:rPr>
          <w:rFonts w:cstheme="minorHAnsi"/>
          <w:highlight w:val="yellow"/>
        </w:rPr>
      </w:pPr>
    </w:p>
    <w:p w14:paraId="2AC1AE49" w14:textId="77777777" w:rsidR="00C761A3" w:rsidRDefault="00C761A3">
      <w:pPr>
        <w:spacing w:after="0" w:line="240" w:lineRule="auto"/>
        <w:rPr>
          <w:rFonts w:cstheme="minorHAnsi"/>
          <w:highlight w:val="yellow"/>
        </w:rPr>
      </w:pPr>
    </w:p>
    <w:p w14:paraId="44CFFDEC" w14:textId="77777777" w:rsidR="00C761A3" w:rsidRDefault="00C761A3">
      <w:pPr>
        <w:spacing w:after="0" w:line="240" w:lineRule="auto"/>
        <w:rPr>
          <w:rFonts w:cstheme="minorHAnsi"/>
          <w:highlight w:val="yellow"/>
        </w:rPr>
      </w:pPr>
    </w:p>
    <w:p w14:paraId="77D1BE85" w14:textId="77777777" w:rsidR="00C761A3" w:rsidRDefault="00C761A3">
      <w:pPr>
        <w:spacing w:after="0" w:line="240" w:lineRule="auto"/>
        <w:rPr>
          <w:rFonts w:cstheme="minorHAnsi"/>
          <w:highlight w:val="yellow"/>
        </w:rPr>
      </w:pPr>
    </w:p>
    <w:p w14:paraId="69C85502" w14:textId="77777777" w:rsidR="00C761A3" w:rsidRDefault="00C761A3">
      <w:pPr>
        <w:spacing w:after="0" w:line="240" w:lineRule="auto"/>
        <w:rPr>
          <w:rFonts w:cstheme="minorHAnsi"/>
          <w:highlight w:val="yellow"/>
        </w:rPr>
      </w:pPr>
    </w:p>
    <w:p w14:paraId="487873B6" w14:textId="77777777" w:rsidR="00C761A3" w:rsidRDefault="00C761A3">
      <w:pPr>
        <w:spacing w:after="0" w:line="240" w:lineRule="auto"/>
        <w:rPr>
          <w:rFonts w:cstheme="minorHAnsi"/>
          <w:highlight w:val="yellow"/>
        </w:rPr>
      </w:pPr>
    </w:p>
    <w:p w14:paraId="0CBB837C" w14:textId="77777777" w:rsidR="00C761A3" w:rsidRDefault="00C761A3">
      <w:pPr>
        <w:spacing w:after="0" w:line="240" w:lineRule="auto"/>
        <w:rPr>
          <w:rFonts w:cstheme="minorHAnsi"/>
          <w:highlight w:val="yellow"/>
        </w:rPr>
      </w:pPr>
    </w:p>
    <w:p w14:paraId="43F42250" w14:textId="77777777" w:rsidR="00C761A3" w:rsidRDefault="00C761A3">
      <w:pPr>
        <w:spacing w:after="0" w:line="240" w:lineRule="auto"/>
        <w:rPr>
          <w:rFonts w:cstheme="minorHAnsi"/>
          <w:highlight w:val="yellow"/>
        </w:rPr>
      </w:pPr>
    </w:p>
    <w:p w14:paraId="1726D216" w14:textId="77777777" w:rsidR="00C761A3" w:rsidRDefault="00C761A3">
      <w:pPr>
        <w:spacing w:after="0" w:line="240" w:lineRule="auto"/>
        <w:rPr>
          <w:rFonts w:cstheme="minorHAnsi"/>
          <w:highlight w:val="yellow"/>
        </w:rPr>
      </w:pPr>
    </w:p>
    <w:p w14:paraId="564FDB1D" w14:textId="77777777" w:rsidR="00C761A3" w:rsidRDefault="00C761A3">
      <w:pPr>
        <w:spacing w:after="0" w:line="240" w:lineRule="auto"/>
        <w:rPr>
          <w:rFonts w:cstheme="minorHAnsi"/>
          <w:highlight w:val="yellow"/>
        </w:rPr>
      </w:pPr>
    </w:p>
    <w:p w14:paraId="20867F3E" w14:textId="77777777" w:rsidR="00C761A3" w:rsidRDefault="00C761A3">
      <w:pPr>
        <w:spacing w:after="0" w:line="240" w:lineRule="auto"/>
        <w:rPr>
          <w:rFonts w:cstheme="minorHAnsi"/>
          <w:highlight w:val="yellow"/>
        </w:rPr>
      </w:pPr>
    </w:p>
    <w:p w14:paraId="4D42E15A" w14:textId="77777777" w:rsidR="00C761A3" w:rsidRDefault="00C761A3">
      <w:pPr>
        <w:spacing w:after="0" w:line="240" w:lineRule="auto"/>
        <w:rPr>
          <w:rFonts w:cstheme="minorHAnsi"/>
          <w:highlight w:val="yellow"/>
        </w:rPr>
      </w:pPr>
    </w:p>
    <w:p w14:paraId="44A6257C" w14:textId="77777777" w:rsidR="00C761A3" w:rsidRDefault="00C761A3">
      <w:pPr>
        <w:spacing w:after="0" w:line="240" w:lineRule="auto"/>
        <w:rPr>
          <w:rFonts w:cstheme="minorHAnsi"/>
          <w:highlight w:val="yellow"/>
        </w:rPr>
      </w:pPr>
    </w:p>
    <w:p w14:paraId="4BB76D5E" w14:textId="77777777" w:rsidR="00C761A3" w:rsidRDefault="00C761A3">
      <w:pPr>
        <w:spacing w:after="0" w:line="240" w:lineRule="auto"/>
        <w:rPr>
          <w:rFonts w:cstheme="minorHAnsi"/>
          <w:highlight w:val="yellow"/>
        </w:rPr>
      </w:pPr>
    </w:p>
    <w:p w14:paraId="262C757D" w14:textId="77777777" w:rsidR="00C761A3" w:rsidRDefault="00C761A3">
      <w:pPr>
        <w:spacing w:after="0" w:line="240" w:lineRule="auto"/>
        <w:rPr>
          <w:rFonts w:cstheme="minorHAnsi"/>
          <w:highlight w:val="yellow"/>
        </w:rPr>
      </w:pPr>
    </w:p>
    <w:p w14:paraId="37D1B6A5" w14:textId="77777777" w:rsidR="00C761A3" w:rsidRDefault="00C761A3">
      <w:pPr>
        <w:spacing w:after="0" w:line="240" w:lineRule="auto"/>
        <w:rPr>
          <w:rFonts w:cstheme="minorHAnsi"/>
          <w:highlight w:val="yellow"/>
        </w:rPr>
      </w:pPr>
    </w:p>
    <w:p w14:paraId="7A841007" w14:textId="77777777" w:rsidR="00C761A3" w:rsidRDefault="00C761A3">
      <w:pPr>
        <w:spacing w:after="0" w:line="240" w:lineRule="auto"/>
        <w:rPr>
          <w:rFonts w:cstheme="minorHAnsi"/>
          <w:highlight w:val="yellow"/>
        </w:rPr>
      </w:pPr>
    </w:p>
    <w:p w14:paraId="23B51DEE" w14:textId="77777777" w:rsidR="00C761A3" w:rsidRDefault="00C761A3">
      <w:pPr>
        <w:spacing w:after="0" w:line="240" w:lineRule="auto"/>
        <w:rPr>
          <w:rFonts w:cstheme="minorHAnsi"/>
          <w:highlight w:val="yellow"/>
        </w:rPr>
      </w:pPr>
    </w:p>
    <w:p w14:paraId="0F3853D1" w14:textId="77777777" w:rsidR="00C761A3" w:rsidRDefault="00C761A3">
      <w:pPr>
        <w:spacing w:after="0" w:line="240" w:lineRule="auto"/>
        <w:rPr>
          <w:rFonts w:cstheme="minorHAnsi"/>
          <w:highlight w:val="yellow"/>
        </w:rPr>
      </w:pPr>
    </w:p>
    <w:p w14:paraId="77A6051B" w14:textId="77777777" w:rsidR="00C761A3" w:rsidRDefault="00C761A3">
      <w:pPr>
        <w:spacing w:after="0" w:line="240" w:lineRule="auto"/>
        <w:rPr>
          <w:rFonts w:cstheme="minorHAnsi"/>
          <w:highlight w:val="yellow"/>
        </w:rPr>
      </w:pPr>
    </w:p>
    <w:p w14:paraId="340C251E" w14:textId="77777777" w:rsidR="00C761A3" w:rsidRDefault="00C761A3">
      <w:pPr>
        <w:spacing w:after="0" w:line="240" w:lineRule="auto"/>
        <w:rPr>
          <w:rFonts w:cstheme="minorHAnsi"/>
          <w:highlight w:val="yellow"/>
        </w:rPr>
      </w:pPr>
    </w:p>
    <w:p w14:paraId="7088EA0C" w14:textId="77777777" w:rsidR="00C761A3" w:rsidRDefault="00C761A3">
      <w:pPr>
        <w:spacing w:after="0" w:line="240" w:lineRule="auto"/>
        <w:rPr>
          <w:rFonts w:cstheme="minorHAnsi"/>
          <w:highlight w:val="yellow"/>
        </w:rPr>
      </w:pPr>
    </w:p>
    <w:p w14:paraId="290090FE" w14:textId="77777777" w:rsidR="00C761A3" w:rsidRDefault="00C761A3">
      <w:pPr>
        <w:spacing w:after="0" w:line="240" w:lineRule="auto"/>
        <w:rPr>
          <w:rFonts w:cstheme="minorHAnsi"/>
          <w:highlight w:val="yellow"/>
        </w:rPr>
      </w:pPr>
    </w:p>
    <w:p w14:paraId="163B65A7" w14:textId="77777777" w:rsidR="00C761A3" w:rsidRDefault="00C761A3">
      <w:pPr>
        <w:spacing w:after="0" w:line="240" w:lineRule="auto"/>
        <w:rPr>
          <w:rFonts w:cstheme="minorHAnsi"/>
          <w:highlight w:val="yellow"/>
        </w:rPr>
      </w:pPr>
    </w:p>
    <w:p w14:paraId="0C7C66E2" w14:textId="77777777" w:rsidR="00C761A3" w:rsidRDefault="00C761A3">
      <w:pPr>
        <w:spacing w:after="0" w:line="240" w:lineRule="auto"/>
        <w:rPr>
          <w:rFonts w:cstheme="minorHAnsi"/>
          <w:highlight w:val="yellow"/>
        </w:rPr>
      </w:pPr>
    </w:p>
    <w:p w14:paraId="322FE8B4" w14:textId="77777777" w:rsidR="00C761A3" w:rsidRDefault="00C761A3">
      <w:pPr>
        <w:spacing w:after="0" w:line="240" w:lineRule="auto"/>
        <w:rPr>
          <w:rFonts w:cstheme="minorHAnsi"/>
          <w:highlight w:val="yellow"/>
        </w:rPr>
      </w:pPr>
    </w:p>
    <w:p w14:paraId="0CAA81D0" w14:textId="77777777" w:rsidR="00C761A3" w:rsidRDefault="00C761A3">
      <w:pPr>
        <w:spacing w:after="0" w:line="240" w:lineRule="auto"/>
        <w:rPr>
          <w:rFonts w:cstheme="minorHAnsi"/>
          <w:highlight w:val="yellow"/>
        </w:rPr>
      </w:pPr>
    </w:p>
    <w:p w14:paraId="35878EE3" w14:textId="77777777" w:rsidR="003C7725" w:rsidRPr="00A95E35" w:rsidRDefault="003C7725" w:rsidP="003C7725">
      <w:pPr>
        <w:shd w:val="clear" w:color="auto" w:fill="D3EBDA" w:themeFill="accent5" w:themeFillTint="33"/>
        <w:spacing w:before="360" w:line="240" w:lineRule="auto"/>
        <w:jc w:val="center"/>
        <w:rPr>
          <w:rFonts w:cstheme="minorHAnsi"/>
          <w:u w:val="single"/>
          <w:lang w:val="el-GR"/>
        </w:rPr>
      </w:pPr>
      <w:r w:rsidRPr="00A95E35">
        <w:rPr>
          <w:rFonts w:cstheme="minorHAnsi"/>
          <w:u w:val="single"/>
          <w:lang w:val="el-GR"/>
        </w:rPr>
        <w:t>Επεξεργασία και ανάλυση δεδομένων</w:t>
      </w:r>
    </w:p>
    <w:p w14:paraId="2C81714F" w14:textId="77777777" w:rsidR="003C7725" w:rsidRPr="00A95E35" w:rsidRDefault="003C7725" w:rsidP="003C7725">
      <w:pPr>
        <w:shd w:val="clear" w:color="auto" w:fill="D3EBDA" w:themeFill="accent5" w:themeFillTint="33"/>
        <w:spacing w:line="240" w:lineRule="auto"/>
        <w:jc w:val="center"/>
        <w:rPr>
          <w:rFonts w:cstheme="minorHAnsi"/>
          <w:lang w:val="el-GR"/>
        </w:rPr>
      </w:pPr>
      <w:r w:rsidRPr="00A95E35">
        <w:rPr>
          <w:rFonts w:cstheme="minorHAnsi"/>
          <w:lang w:val="el-GR"/>
        </w:rPr>
        <w:t>Φανή Προβή, Ma Social Research</w:t>
      </w:r>
    </w:p>
    <w:p w14:paraId="7CE4AB2D" w14:textId="77777777" w:rsidR="003C7725" w:rsidRPr="00E053B3" w:rsidRDefault="003C7725" w:rsidP="003C7725">
      <w:pPr>
        <w:shd w:val="clear" w:color="auto" w:fill="D3EBDA" w:themeFill="accent5" w:themeFillTint="33"/>
        <w:spacing w:after="480" w:line="240" w:lineRule="auto"/>
        <w:jc w:val="center"/>
        <w:rPr>
          <w:rFonts w:cstheme="minorHAnsi"/>
          <w:i/>
          <w:iCs/>
          <w:sz w:val="21"/>
          <w:szCs w:val="21"/>
          <w:lang w:val="el-GR"/>
        </w:rPr>
      </w:pPr>
      <w:r w:rsidRPr="00E053B3">
        <w:rPr>
          <w:rFonts w:cstheme="minorHAnsi"/>
          <w:i/>
          <w:iCs/>
          <w:sz w:val="21"/>
          <w:szCs w:val="21"/>
          <w:lang w:val="el-GR"/>
        </w:rPr>
        <w:t>Επιστημονική Υπεύθυνη Παρατηρητηρίου Θεμάτων Αναπηρίας / Επιστημονικό Στέλεχος Ε.Σ.Α.μεΑ.</w:t>
      </w:r>
    </w:p>
    <w:p w14:paraId="6B87E87D" w14:textId="77777777" w:rsidR="003C7725" w:rsidRPr="00A95E35" w:rsidRDefault="003C7725" w:rsidP="003C7725">
      <w:pPr>
        <w:spacing w:before="120"/>
        <w:rPr>
          <w:sz w:val="20"/>
          <w:szCs w:val="20"/>
          <w:lang w:val="el-GR"/>
        </w:rPr>
      </w:pPr>
      <w:r w:rsidRPr="00A95E35">
        <w:rPr>
          <w:noProof/>
        </w:rPr>
        <w:drawing>
          <wp:anchor distT="0" distB="0" distL="114300" distR="114300" simplePos="0" relativeHeight="251661312" behindDoc="0" locked="0" layoutInCell="1" allowOverlap="1" wp14:anchorId="1BF0BEB9" wp14:editId="5ACF085E">
            <wp:simplePos x="0" y="0"/>
            <wp:positionH relativeFrom="column">
              <wp:posOffset>766445</wp:posOffset>
            </wp:positionH>
            <wp:positionV relativeFrom="paragraph">
              <wp:posOffset>191770</wp:posOffset>
            </wp:positionV>
            <wp:extent cx="914400" cy="914400"/>
            <wp:effectExtent l="0" t="0" r="0" b="0"/>
            <wp:wrapSquare wrapText="bothSides"/>
            <wp:docPr id="1543200339"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6057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pic:spPr>
                </pic:pic>
              </a:graphicData>
            </a:graphic>
          </wp:anchor>
        </w:drawing>
      </w:r>
    </w:p>
    <w:p w14:paraId="57EEE916" w14:textId="77777777" w:rsidR="003C7725" w:rsidRPr="00A95E35" w:rsidRDefault="003C7725" w:rsidP="003C7725">
      <w:pPr>
        <w:pBdr>
          <w:top w:val="single" w:sz="4" w:space="1" w:color="auto"/>
        </w:pBdr>
        <w:ind w:left="2835" w:right="423"/>
        <w:rPr>
          <w:sz w:val="20"/>
          <w:szCs w:val="20"/>
          <w:lang w:val="el-GR"/>
        </w:rPr>
      </w:pPr>
      <w:r w:rsidRPr="00A95E35">
        <w:rPr>
          <w:sz w:val="20"/>
          <w:szCs w:val="20"/>
          <w:lang w:val="el-GR"/>
        </w:rPr>
        <w:t xml:space="preserve">Προσβάσιμο αρχείο </w:t>
      </w:r>
      <w:r w:rsidRPr="00A95E35">
        <w:rPr>
          <w:sz w:val="20"/>
          <w:szCs w:val="20"/>
          <w:lang w:val="en-GB"/>
        </w:rPr>
        <w:t>Microsoft</w:t>
      </w:r>
      <w:r w:rsidRPr="00A95E35">
        <w:rPr>
          <w:sz w:val="20"/>
          <w:szCs w:val="20"/>
          <w:lang w:val="el-GR"/>
        </w:rPr>
        <w:t xml:space="preserve"> </w:t>
      </w:r>
      <w:r w:rsidRPr="00A95E35">
        <w:rPr>
          <w:sz w:val="20"/>
          <w:szCs w:val="20"/>
          <w:lang w:val="en-GB"/>
        </w:rPr>
        <w:t>Word</w:t>
      </w:r>
      <w:r w:rsidRPr="00A95E35">
        <w:rPr>
          <w:sz w:val="20"/>
          <w:szCs w:val="20"/>
          <w:lang w:val="el-GR"/>
        </w:rPr>
        <w:t xml:space="preserve"> (*.</w:t>
      </w:r>
      <w:r w:rsidRPr="00A95E35">
        <w:rPr>
          <w:sz w:val="20"/>
          <w:szCs w:val="20"/>
          <w:lang w:val="en-GB"/>
        </w:rPr>
        <w:t>docx</w:t>
      </w:r>
      <w:r w:rsidRPr="00A95E35">
        <w:rPr>
          <w:sz w:val="20"/>
          <w:szCs w:val="20"/>
          <w:lang w:val="el-GR"/>
        </w:rPr>
        <w:t>)</w:t>
      </w:r>
    </w:p>
    <w:p w14:paraId="0370DD91" w14:textId="77777777" w:rsidR="003C7725" w:rsidRPr="00A95E35" w:rsidRDefault="003C7725" w:rsidP="003C7725">
      <w:pPr>
        <w:pBdr>
          <w:bottom w:val="single" w:sz="4" w:space="1" w:color="auto"/>
        </w:pBdr>
        <w:ind w:left="2835" w:right="423"/>
        <w:rPr>
          <w:rFonts w:cstheme="minorHAnsi"/>
          <w:lang w:val="el-GR"/>
        </w:rPr>
      </w:pPr>
      <w:r w:rsidRPr="00A95E35">
        <w:rPr>
          <w:sz w:val="20"/>
          <w:szCs w:val="20"/>
          <w:lang w:val="el-GR"/>
        </w:rPr>
        <w:t xml:space="preserve">Το παρόν αρχείο ελέγχθηκε με το εργαλείο </w:t>
      </w:r>
      <w:r w:rsidRPr="00A95E35">
        <w:rPr>
          <w:i/>
          <w:sz w:val="20"/>
          <w:szCs w:val="20"/>
          <w:lang w:val="en-GB"/>
        </w:rPr>
        <w:t>Microsoft</w:t>
      </w:r>
      <w:r w:rsidRPr="00A95E35">
        <w:rPr>
          <w:i/>
          <w:sz w:val="20"/>
          <w:szCs w:val="20"/>
          <w:lang w:val="el-GR"/>
        </w:rPr>
        <w:t xml:space="preserve"> </w:t>
      </w:r>
      <w:r w:rsidRPr="00A95E35">
        <w:rPr>
          <w:i/>
          <w:sz w:val="20"/>
          <w:szCs w:val="20"/>
          <w:lang w:val="en-GB"/>
        </w:rPr>
        <w:t>Accessibility</w:t>
      </w:r>
      <w:r w:rsidRPr="00A95E35">
        <w:rPr>
          <w:i/>
          <w:sz w:val="20"/>
          <w:szCs w:val="20"/>
          <w:lang w:val="el-GR"/>
        </w:rPr>
        <w:t xml:space="preserve"> </w:t>
      </w:r>
      <w:r w:rsidRPr="00A95E35">
        <w:rPr>
          <w:i/>
          <w:sz w:val="20"/>
          <w:szCs w:val="20"/>
          <w:lang w:val="en-GB"/>
        </w:rPr>
        <w:t>Checker</w:t>
      </w:r>
      <w:r w:rsidRPr="00A95E35">
        <w:rPr>
          <w:i/>
          <w:sz w:val="20"/>
          <w:szCs w:val="20"/>
          <w:lang w:val="el-GR"/>
        </w:rPr>
        <w:t xml:space="preserve"> </w:t>
      </w:r>
      <w:r w:rsidRPr="00A95E35">
        <w:rPr>
          <w:sz w:val="20"/>
          <w:szCs w:val="20"/>
          <w:lang w:val="el-GR"/>
        </w:rPr>
        <w:t>και δεν βρέθηκαν θέματα προσβασιμότητας. Τα άτομα με αναπηρία δεν θα αντιμετωπίζουν δυσκολίες στην ανάγνωσή του.</w:t>
      </w:r>
    </w:p>
    <w:p w14:paraId="050B683C" w14:textId="714E909F" w:rsidR="007D51AE" w:rsidRDefault="007D51AE">
      <w:pPr>
        <w:pStyle w:val="af3"/>
        <w:ind w:left="0"/>
        <w:jc w:val="both"/>
        <w:rPr>
          <w:rStyle w:val="tlid-translation"/>
          <w:lang w:val="el-GR"/>
        </w:rPr>
      </w:pPr>
    </w:p>
    <w:p w14:paraId="55201545" w14:textId="77777777" w:rsidR="003C7725" w:rsidRDefault="003C7725">
      <w:pPr>
        <w:spacing w:after="0" w:line="240" w:lineRule="auto"/>
        <w:rPr>
          <w:rFonts w:asciiTheme="majorHAnsi" w:eastAsiaTheme="majorEastAsia" w:hAnsiTheme="majorHAnsi" w:cstheme="majorBidi"/>
          <w:b/>
          <w:bCs/>
          <w:color w:val="000000" w:themeColor="text1"/>
          <w:sz w:val="32"/>
          <w:szCs w:val="32"/>
          <w:u w:val="single"/>
          <w:lang w:val="el-GR"/>
        </w:rPr>
      </w:pPr>
      <w:r>
        <w:rPr>
          <w:b/>
          <w:bCs/>
          <w:color w:val="000000" w:themeColor="text1"/>
          <w:u w:val="single"/>
          <w:lang w:val="el-GR"/>
        </w:rPr>
        <w:br w:type="page"/>
      </w:r>
    </w:p>
    <w:p w14:paraId="21AA760E" w14:textId="188043FC" w:rsidR="007D51AE" w:rsidRPr="00E96E30" w:rsidRDefault="00181D14" w:rsidP="00181D14">
      <w:pPr>
        <w:pStyle w:val="10"/>
        <w:numPr>
          <w:ilvl w:val="0"/>
          <w:numId w:val="0"/>
        </w:numPr>
        <w:tabs>
          <w:tab w:val="center" w:pos="4393"/>
          <w:tab w:val="left" w:pos="7537"/>
        </w:tabs>
        <w:spacing w:before="600" w:after="240"/>
        <w:rPr>
          <w:b/>
          <w:bCs/>
          <w:color w:val="000000" w:themeColor="text1"/>
          <w:u w:val="single"/>
          <w:lang w:val="el-GR"/>
        </w:rPr>
      </w:pPr>
      <w:r>
        <w:rPr>
          <w:b/>
          <w:bCs/>
          <w:color w:val="000000" w:themeColor="text1"/>
          <w:u w:val="single"/>
          <w:lang w:val="el-GR"/>
        </w:rPr>
        <w:lastRenderedPageBreak/>
        <w:tab/>
      </w:r>
      <w:bookmarkStart w:id="1" w:name="_Toc209427138"/>
      <w:r w:rsidRPr="00E96E30">
        <w:rPr>
          <w:b/>
          <w:bCs/>
          <w:color w:val="000000" w:themeColor="text1"/>
          <w:u w:val="single"/>
          <w:lang w:val="el-GR"/>
        </w:rPr>
        <w:t>ΕΙΣΑΓΩΓΗ</w:t>
      </w:r>
      <w:bookmarkEnd w:id="1"/>
      <w:r>
        <w:rPr>
          <w:b/>
          <w:bCs/>
          <w:color w:val="000000" w:themeColor="text1"/>
          <w:u w:val="single"/>
          <w:lang w:val="el-GR"/>
        </w:rPr>
        <w:tab/>
      </w:r>
    </w:p>
    <w:p w14:paraId="7099B02A" w14:textId="4EDD9004" w:rsidR="00181D14" w:rsidRPr="00181D14" w:rsidRDefault="00181D14" w:rsidP="00181D14">
      <w:pPr>
        <w:jc w:val="both"/>
        <w:rPr>
          <w:rFonts w:cstheme="minorHAnsi"/>
          <w:sz w:val="24"/>
          <w:szCs w:val="24"/>
          <w:lang w:val="el-GR"/>
        </w:rPr>
      </w:pPr>
      <w:bookmarkStart w:id="2" w:name="_Hlk209086370"/>
      <w:r w:rsidRPr="00181D14">
        <w:rPr>
          <w:rFonts w:cstheme="minorHAnsi"/>
          <w:sz w:val="24"/>
          <w:szCs w:val="24"/>
          <w:lang w:val="el-GR"/>
        </w:rPr>
        <w:t>Στο παρόν δελτίο εξετάζονται συνδυαστικά μια σειρά βασικών παραμέτρων και δεικτών  που σχετίζονται με την ακραία και επίμονη φτωχοποίηση και περιθωριοποίηση των ατόμων με αναπηρία στη χώρα. Οι επιπτώσεις των πολλαπλών κρίσεων</w:t>
      </w:r>
      <w:r w:rsidR="001614AC">
        <w:rPr>
          <w:rFonts w:cstheme="minorHAnsi"/>
          <w:sz w:val="24"/>
          <w:szCs w:val="24"/>
          <w:lang w:val="el-GR"/>
        </w:rPr>
        <w:t>,</w:t>
      </w:r>
      <w:r w:rsidRPr="00181D14">
        <w:rPr>
          <w:rFonts w:cstheme="minorHAnsi"/>
          <w:sz w:val="24"/>
          <w:szCs w:val="24"/>
          <w:lang w:val="el-GR"/>
        </w:rPr>
        <w:t xml:space="preserve"> που αντιμετώπισε και συνεχίζει να αντιμετωπίζει η Ελλάδα, σε συνδυασμό με τα διαρθρωτικά προβλήματα της οικονομίας,  έχουν διαμορφώσει μια οριακή και επικίνδυνη κοινωνική συνθήκη, όπου μεγάλα τμήματα του πληθυσμού έχουν μαζικά περιθωριοποιηθεί και αδυνατούν πλέον, όχι μόνο να ανταπεξέλθουν στο κόστος κάλυψης βασικών αναγκών διαβίωσης, αλλά εν τέλει να συμμετέχουν στην κοινωνία. </w:t>
      </w:r>
    </w:p>
    <w:p w14:paraId="53082F05" w14:textId="4B4C98C4" w:rsidR="00181D14" w:rsidRPr="00181D14" w:rsidRDefault="00181D14" w:rsidP="00181D14">
      <w:pPr>
        <w:jc w:val="both"/>
        <w:rPr>
          <w:rFonts w:cstheme="minorHAnsi"/>
          <w:sz w:val="24"/>
          <w:szCs w:val="24"/>
          <w:lang w:val="el-GR"/>
        </w:rPr>
      </w:pPr>
      <w:r w:rsidRPr="00181D14">
        <w:rPr>
          <w:rFonts w:cstheme="minorHAnsi"/>
          <w:sz w:val="24"/>
          <w:szCs w:val="24"/>
          <w:lang w:val="el-GR"/>
        </w:rPr>
        <w:t xml:space="preserve">Ο δείκτης κινδύνου φτώχειας ή /και κοινωνικού αποκλεισμού της </w:t>
      </w:r>
      <w:r w:rsidRPr="00181D14">
        <w:rPr>
          <w:rFonts w:cstheme="minorHAnsi"/>
          <w:sz w:val="24"/>
          <w:szCs w:val="24"/>
        </w:rPr>
        <w:t>Eurostat</w:t>
      </w:r>
      <w:r w:rsidRPr="00181D14">
        <w:rPr>
          <w:rFonts w:cstheme="minorHAnsi"/>
          <w:sz w:val="24"/>
          <w:szCs w:val="24"/>
          <w:lang w:val="el-GR"/>
        </w:rPr>
        <w:t xml:space="preserve"> κατατάσσει διαχρονικά τη χώρα στις χειρότερες οικονομίες της Ευρώπης, αφού το ¼ του συνολικού πληθυσμού ζουν σταθερά σε κίνδυνο φτώχειας ή /και κοινωνικού αποκλεισμού. Το 2024 η Ελλάδα βρίσκεται στην 4η χειρότερη θέση</w:t>
      </w:r>
      <w:r w:rsidRPr="00181D14">
        <w:rPr>
          <w:rFonts w:cstheme="minorHAnsi"/>
          <w:sz w:val="24"/>
          <w:szCs w:val="24"/>
          <w:vertAlign w:val="superscript"/>
        </w:rPr>
        <w:footnoteReference w:id="1"/>
      </w:r>
      <w:r w:rsidRPr="00181D14">
        <w:rPr>
          <w:rFonts w:cstheme="minorHAnsi"/>
          <w:sz w:val="24"/>
          <w:szCs w:val="24"/>
          <w:lang w:val="el-GR"/>
        </w:rPr>
        <w:t xml:space="preserve"> στην ΕΕ των 27, με το 26,6% του </w:t>
      </w:r>
      <w:r w:rsidR="001614AC">
        <w:rPr>
          <w:rFonts w:cstheme="minorHAnsi"/>
          <w:sz w:val="24"/>
          <w:szCs w:val="24"/>
          <w:lang w:val="el-GR"/>
        </w:rPr>
        <w:t xml:space="preserve">συνολικού </w:t>
      </w:r>
      <w:r w:rsidRPr="00181D14">
        <w:rPr>
          <w:rFonts w:cstheme="minorHAnsi"/>
          <w:sz w:val="24"/>
          <w:szCs w:val="24"/>
          <w:lang w:val="el-GR"/>
        </w:rPr>
        <w:t>πληθυσμού 16 ετών και άνω να ζει σε συνθήκες φτώχειας. Η εκτεταμένη ανεργία και ιδιαίτερα στους νέους, αλλά και η χαμηλή ποιότητα των υφιστάμενων θέσεων εργασίας ως προς τους όρους απασχόλησης (επισφαλείς μορφές απασχόλησης), το ύψος των μισθολογικών απολαβών, η υπερχρέωση των νοικοκυριών και το βάρος των φορολογικών υποχρεώσεων,  σε συνδυασμό</w:t>
      </w:r>
      <w:r w:rsidR="001614AC">
        <w:rPr>
          <w:rFonts w:cstheme="minorHAnsi"/>
          <w:sz w:val="24"/>
          <w:szCs w:val="24"/>
          <w:lang w:val="el-GR"/>
        </w:rPr>
        <w:t xml:space="preserve"> </w:t>
      </w:r>
      <w:r w:rsidRPr="00181D14">
        <w:rPr>
          <w:rFonts w:cstheme="minorHAnsi"/>
          <w:sz w:val="24"/>
          <w:szCs w:val="24"/>
          <w:lang w:val="el-GR"/>
        </w:rPr>
        <w:t>με την συνεχώς αυξανόμενη ακρίβεια, έχουν δημιουργήσει μια κατάσταση ασφυκτική, ιδιαίτερα για τα παραγωγικά στρώματα της κοινωνίας</w:t>
      </w:r>
      <w:r w:rsidRPr="00181D14">
        <w:rPr>
          <w:rStyle w:val="aa"/>
          <w:rFonts w:cstheme="minorHAnsi"/>
          <w:sz w:val="24"/>
          <w:szCs w:val="24"/>
          <w:lang w:val="el-GR"/>
        </w:rPr>
        <w:footnoteReference w:id="2"/>
      </w:r>
      <w:r w:rsidRPr="00181D14">
        <w:rPr>
          <w:rFonts w:cstheme="minorHAnsi"/>
          <w:sz w:val="24"/>
          <w:szCs w:val="24"/>
          <w:lang w:val="el-GR"/>
        </w:rPr>
        <w:t>. Αποτέλεσμα αυτής της συνθήκης είναι και το φαινόμενο των φτωχών εργαζομένων (</w:t>
      </w:r>
      <w:r w:rsidRPr="00181D14">
        <w:rPr>
          <w:rFonts w:cstheme="minorHAnsi"/>
          <w:sz w:val="24"/>
          <w:szCs w:val="24"/>
        </w:rPr>
        <w:t>working</w:t>
      </w:r>
      <w:r w:rsidRPr="00181D14">
        <w:rPr>
          <w:rFonts w:cstheme="minorHAnsi"/>
          <w:sz w:val="24"/>
          <w:szCs w:val="24"/>
          <w:lang w:val="el-GR"/>
        </w:rPr>
        <w:t xml:space="preserve"> </w:t>
      </w:r>
      <w:r w:rsidRPr="00181D14">
        <w:rPr>
          <w:rFonts w:cstheme="minorHAnsi"/>
          <w:sz w:val="24"/>
          <w:szCs w:val="24"/>
        </w:rPr>
        <w:t>poor</w:t>
      </w:r>
      <w:r w:rsidRPr="00181D14">
        <w:rPr>
          <w:rFonts w:cstheme="minorHAnsi"/>
          <w:sz w:val="24"/>
          <w:szCs w:val="24"/>
          <w:lang w:val="el-GR"/>
        </w:rPr>
        <w:t>), δηλαδή των ατόμων που παρότι εργάζονται</w:t>
      </w:r>
      <w:r w:rsidR="001614AC">
        <w:rPr>
          <w:rFonts w:cstheme="minorHAnsi"/>
          <w:sz w:val="24"/>
          <w:szCs w:val="24"/>
          <w:lang w:val="el-GR"/>
        </w:rPr>
        <w:t>,</w:t>
      </w:r>
      <w:r w:rsidRPr="00181D14">
        <w:rPr>
          <w:rFonts w:cstheme="minorHAnsi"/>
          <w:sz w:val="24"/>
          <w:szCs w:val="24"/>
          <w:lang w:val="el-GR"/>
        </w:rPr>
        <w:t xml:space="preserve"> δεν είναι σε θέση να εξασφαλίσουν ένα αξιοπρεπές επίπεδο διαβίωσης. </w:t>
      </w:r>
    </w:p>
    <w:p w14:paraId="7C00C514" w14:textId="050B75D3" w:rsidR="00181D14" w:rsidRPr="00181D14" w:rsidRDefault="00181D14" w:rsidP="00181D14">
      <w:pPr>
        <w:jc w:val="both"/>
        <w:rPr>
          <w:rFonts w:cstheme="minorHAnsi"/>
          <w:lang w:val="el-GR"/>
        </w:rPr>
      </w:pPr>
      <w:r w:rsidRPr="00181D14">
        <w:rPr>
          <w:rFonts w:cstheme="minorHAnsi"/>
          <w:sz w:val="24"/>
          <w:szCs w:val="24"/>
          <w:lang w:val="el-GR"/>
        </w:rPr>
        <w:t>Τα άτομα με αναπηρία ή/και χρόνιες παθήσεις, εντάσσονται σε εκείνες τις ευάλωτες ομάδες που επηρεάζονται υπέρμετρα από αυτή τη συνθήκη. Τα άτομα με αναπηρία/χρόνιες παθήσεις, πέραν όλων αυτών των δυσμενών παραγόντων, αντιμετωπίζουν σοβαρό εργασιακό αποκλεισμό, καθώς και ένα υψηλό πρόσθετο κόστος διαβίωσης λόγω της αναπηρίας/πάθησης</w:t>
      </w:r>
      <w:r w:rsidR="001614AC">
        <w:rPr>
          <w:rFonts w:cstheme="minorHAnsi"/>
          <w:sz w:val="24"/>
          <w:szCs w:val="24"/>
          <w:lang w:val="el-GR"/>
        </w:rPr>
        <w:t xml:space="preserve">, </w:t>
      </w:r>
      <w:r w:rsidRPr="00181D14">
        <w:rPr>
          <w:rFonts w:cstheme="minorHAnsi"/>
          <w:sz w:val="24"/>
          <w:szCs w:val="24"/>
          <w:lang w:val="el-GR"/>
        </w:rPr>
        <w:t>επωμιζόμενοι</w:t>
      </w:r>
      <w:r w:rsidR="001614AC">
        <w:rPr>
          <w:rFonts w:cstheme="minorHAnsi"/>
          <w:sz w:val="24"/>
          <w:szCs w:val="24"/>
          <w:lang w:val="el-GR"/>
        </w:rPr>
        <w:t xml:space="preserve"> και </w:t>
      </w:r>
      <w:r w:rsidRPr="00181D14">
        <w:rPr>
          <w:rFonts w:cstheme="minorHAnsi"/>
          <w:sz w:val="24"/>
          <w:szCs w:val="24"/>
          <w:lang w:val="el-GR"/>
        </w:rPr>
        <w:t>σημαντικές και ανελαστικές δαπάνες υγείας και αποκατάστασης. Η σταθερή υποχρηματοδότηση του ΕΣΥ αφενός έχει οδηγήσει στις τεράστιες γνωστές δυσλειτουργίες</w:t>
      </w:r>
      <w:r w:rsidR="001614AC">
        <w:rPr>
          <w:rFonts w:cstheme="minorHAnsi"/>
          <w:sz w:val="24"/>
          <w:szCs w:val="24"/>
          <w:lang w:val="el-GR"/>
        </w:rPr>
        <w:t xml:space="preserve"> </w:t>
      </w:r>
      <w:r w:rsidRPr="00181D14">
        <w:rPr>
          <w:rFonts w:cstheme="minorHAnsi"/>
          <w:sz w:val="24"/>
          <w:szCs w:val="24"/>
          <w:lang w:val="el-GR"/>
        </w:rPr>
        <w:t>αφετέρου μετακυλείει το κόστος της υγείας στους πολίτες, οι οποίοι, δεδομένης της οικονομικής στενότητας, αναγκάζονται να στερούνται ακόμα και βασικά είδη διαβίωσης προκειμένου να ανταπεξέλθουν στο κόστος των αναγκών υγείας τους</w:t>
      </w:r>
      <w:r w:rsidRPr="00181D14">
        <w:rPr>
          <w:rStyle w:val="aa"/>
          <w:rFonts w:cstheme="minorHAnsi"/>
          <w:sz w:val="24"/>
          <w:szCs w:val="24"/>
          <w:lang w:val="el-GR"/>
        </w:rPr>
        <w:footnoteReference w:id="3"/>
      </w:r>
      <w:r w:rsidRPr="00181D14">
        <w:rPr>
          <w:rFonts w:cstheme="minorHAnsi"/>
          <w:sz w:val="24"/>
          <w:szCs w:val="24"/>
          <w:lang w:val="el-GR"/>
        </w:rPr>
        <w:t xml:space="preserve">. </w:t>
      </w:r>
    </w:p>
    <w:p w14:paraId="4495908B" w14:textId="5FE80580" w:rsidR="00181D14" w:rsidRPr="00181D14" w:rsidRDefault="00181D14" w:rsidP="00181D14">
      <w:pPr>
        <w:jc w:val="both"/>
        <w:rPr>
          <w:rFonts w:cstheme="minorHAnsi"/>
          <w:sz w:val="24"/>
          <w:szCs w:val="24"/>
          <w:lang w:val="el-GR"/>
        </w:rPr>
      </w:pPr>
      <w:r w:rsidRPr="00181D14">
        <w:rPr>
          <w:rFonts w:cstheme="minorHAnsi"/>
          <w:sz w:val="24"/>
          <w:szCs w:val="24"/>
          <w:lang w:val="el-GR"/>
        </w:rPr>
        <w:lastRenderedPageBreak/>
        <w:t xml:space="preserve">Η φτώχεια στην Ελλάδα, και ιδιαίτερα στα άτομα με αναπηρία, αποτελεί ένα σύνθετο φαινόμενο,  που συνδέεται με τα διαρθρωτικά προβλήματα της αγοράς εργασίας, την υποχώρηση του κράτους πρόνοιας και την ανεπάρκεια των κοινωνικών πολιτικών, καθώς και με την υποβάθμιση των δημόσιων δομών και αγαθών, και ιδιαίτερα του δημόσιου συστήματος υγείας. </w:t>
      </w:r>
    </w:p>
    <w:p w14:paraId="38D6FD23" w14:textId="28E2F814" w:rsidR="00181D14" w:rsidRPr="00181D14" w:rsidRDefault="00181D14" w:rsidP="00181D14">
      <w:pPr>
        <w:jc w:val="both"/>
        <w:rPr>
          <w:rFonts w:cstheme="minorHAnsi"/>
          <w:sz w:val="24"/>
          <w:szCs w:val="24"/>
          <w:lang w:val="el-GR"/>
        </w:rPr>
      </w:pPr>
      <w:r w:rsidRPr="00181D14">
        <w:rPr>
          <w:rFonts w:cstheme="minorHAnsi"/>
          <w:sz w:val="24"/>
          <w:szCs w:val="24"/>
          <w:lang w:val="el-GR"/>
        </w:rPr>
        <w:t>Κάποιες από αυτές τις παραμέτρους</w:t>
      </w:r>
      <w:r w:rsidR="005B3097">
        <w:rPr>
          <w:rFonts w:cstheme="minorHAnsi"/>
          <w:sz w:val="24"/>
          <w:szCs w:val="24"/>
          <w:lang w:val="el-GR"/>
        </w:rPr>
        <w:t xml:space="preserve"> που </w:t>
      </w:r>
      <w:r w:rsidRPr="00181D14">
        <w:rPr>
          <w:rFonts w:cstheme="minorHAnsi"/>
          <w:sz w:val="24"/>
          <w:szCs w:val="24"/>
          <w:lang w:val="el-GR"/>
        </w:rPr>
        <w:t>συνθέτουν το τετράπτυχο της περιθωριοποίηση των ατόμων με αναπηρία</w:t>
      </w:r>
      <w:r w:rsidR="005B3097">
        <w:rPr>
          <w:rFonts w:cstheme="minorHAnsi"/>
          <w:sz w:val="24"/>
          <w:szCs w:val="24"/>
          <w:lang w:val="el-GR"/>
        </w:rPr>
        <w:t xml:space="preserve"> (</w:t>
      </w:r>
      <w:r w:rsidRPr="0098570E">
        <w:rPr>
          <w:rFonts w:cstheme="minorHAnsi"/>
          <w:b/>
          <w:bCs/>
          <w:sz w:val="24"/>
          <w:szCs w:val="24"/>
          <w:lang w:val="el-GR"/>
        </w:rPr>
        <w:t>Φτώχεια, εργασιακός αποκλεισμός</w:t>
      </w:r>
      <w:r w:rsidRPr="00181D14">
        <w:rPr>
          <w:rFonts w:cstheme="minorHAnsi"/>
          <w:sz w:val="24"/>
          <w:szCs w:val="24"/>
          <w:lang w:val="el-GR"/>
        </w:rPr>
        <w:t xml:space="preserve">, </w:t>
      </w:r>
      <w:r w:rsidRPr="00181D14">
        <w:rPr>
          <w:rFonts w:cstheme="minorHAnsi"/>
          <w:b/>
          <w:bCs/>
          <w:sz w:val="24"/>
          <w:szCs w:val="24"/>
          <w:lang w:val="el-GR"/>
        </w:rPr>
        <w:t xml:space="preserve">ελλειμματική κοινωνική προστασία, </w:t>
      </w:r>
      <w:r w:rsidR="005B3097">
        <w:rPr>
          <w:rFonts w:cstheme="minorHAnsi"/>
          <w:b/>
          <w:bCs/>
          <w:sz w:val="24"/>
          <w:szCs w:val="24"/>
          <w:lang w:val="el-GR"/>
        </w:rPr>
        <w:t xml:space="preserve">υγεία από την </w:t>
      </w:r>
      <w:r w:rsidRPr="00181D14">
        <w:rPr>
          <w:rFonts w:cstheme="minorHAnsi"/>
          <w:b/>
          <w:bCs/>
          <w:sz w:val="24"/>
          <w:szCs w:val="24"/>
          <w:lang w:val="el-GR"/>
        </w:rPr>
        <w:t>τσέπη των νοικοκυριών</w:t>
      </w:r>
      <w:r w:rsidR="005B3097">
        <w:rPr>
          <w:rFonts w:cstheme="minorHAnsi"/>
          <w:b/>
          <w:bCs/>
          <w:sz w:val="24"/>
          <w:szCs w:val="24"/>
          <w:lang w:val="el-GR"/>
        </w:rPr>
        <w:t xml:space="preserve">), </w:t>
      </w:r>
      <w:r w:rsidRPr="00181D14">
        <w:rPr>
          <w:rFonts w:cstheme="minorHAnsi"/>
          <w:sz w:val="24"/>
          <w:szCs w:val="24"/>
          <w:lang w:val="el-GR"/>
        </w:rPr>
        <w:t xml:space="preserve">αναδεικνύουμε στο παρόν δελτίο, επικεντρώνοντας την ανάλυση σε βασικούς κοινωνικοοικονομικούς δείκτες αναφοράς. </w:t>
      </w:r>
    </w:p>
    <w:p w14:paraId="501CE166" w14:textId="77777777" w:rsidR="007F7EFE" w:rsidRDefault="007F7EFE" w:rsidP="007F7EFE">
      <w:pPr>
        <w:rPr>
          <w:rFonts w:asciiTheme="majorHAnsi" w:eastAsiaTheme="majorEastAsia" w:hAnsiTheme="majorHAnsi" w:cstheme="majorBidi"/>
          <w:sz w:val="32"/>
          <w:szCs w:val="32"/>
          <w:lang w:val="el-GR"/>
        </w:rPr>
      </w:pPr>
      <w:bookmarkStart w:id="3" w:name="_Hlk184644538"/>
      <w:bookmarkEnd w:id="2"/>
      <w:r>
        <w:rPr>
          <w:lang w:val="el-GR"/>
        </w:rPr>
        <w:br w:type="page"/>
      </w:r>
    </w:p>
    <w:p w14:paraId="056823D4" w14:textId="1019907E" w:rsidR="00FE5B5F" w:rsidRPr="00CC2B02" w:rsidRDefault="00FE5B5F" w:rsidP="00FE5B5F">
      <w:pPr>
        <w:pStyle w:val="10"/>
        <w:numPr>
          <w:ilvl w:val="0"/>
          <w:numId w:val="0"/>
        </w:numPr>
        <w:ind w:left="432"/>
        <w:rPr>
          <w:rFonts w:ascii="Arial Black" w:hAnsi="Arial Black"/>
          <w:color w:val="215D4B" w:themeColor="accent4" w:themeShade="80"/>
          <w:lang w:val="el-GR"/>
        </w:rPr>
      </w:pPr>
    </w:p>
    <w:p w14:paraId="6561D80F" w14:textId="3B5A4F06" w:rsidR="00C761A3" w:rsidRPr="00C761A3" w:rsidRDefault="00C761A3" w:rsidP="00C761A3">
      <w:pPr>
        <w:pStyle w:val="a5"/>
        <w:ind w:left="567" w:right="565"/>
        <w:jc w:val="center"/>
        <w:rPr>
          <w:rFonts w:asciiTheme="majorHAnsi" w:hAnsiTheme="majorHAnsi" w:cstheme="majorHAnsi"/>
          <w:b/>
          <w:bCs/>
          <w:i w:val="0"/>
          <w:iCs w:val="0"/>
          <w:color w:val="487B77" w:themeColor="accent6" w:themeShade="BF"/>
          <w:sz w:val="24"/>
          <w:szCs w:val="24"/>
          <w:lang w:val="el-GR"/>
        </w:rPr>
      </w:pPr>
      <w:bookmarkStart w:id="4" w:name="_Toc209430788"/>
      <w:r w:rsidRPr="00C761A3">
        <w:rPr>
          <w:rFonts w:asciiTheme="majorHAnsi" w:hAnsiTheme="majorHAnsi" w:cstheme="majorHAnsi"/>
          <w:b/>
          <w:bCs/>
          <w:i w:val="0"/>
          <w:iCs w:val="0"/>
          <w:color w:val="487B77" w:themeColor="accent6" w:themeShade="BF"/>
          <w:sz w:val="24"/>
          <w:szCs w:val="24"/>
          <w:lang w:val="el-GR"/>
        </w:rPr>
        <w:t xml:space="preserve">Πίνακας </w:t>
      </w:r>
      <w:r w:rsidRPr="00C761A3">
        <w:rPr>
          <w:rFonts w:asciiTheme="majorHAnsi" w:hAnsiTheme="majorHAnsi" w:cstheme="majorHAnsi"/>
          <w:b/>
          <w:bCs/>
          <w:i w:val="0"/>
          <w:iCs w:val="0"/>
          <w:color w:val="487B77" w:themeColor="accent6" w:themeShade="BF"/>
          <w:sz w:val="24"/>
          <w:szCs w:val="24"/>
          <w:lang w:val="el-GR"/>
        </w:rPr>
        <w:fldChar w:fldCharType="begin"/>
      </w:r>
      <w:r w:rsidRPr="00C761A3">
        <w:rPr>
          <w:rFonts w:asciiTheme="majorHAnsi" w:hAnsiTheme="majorHAnsi" w:cstheme="majorHAnsi"/>
          <w:b/>
          <w:bCs/>
          <w:i w:val="0"/>
          <w:iCs w:val="0"/>
          <w:color w:val="487B77" w:themeColor="accent6" w:themeShade="BF"/>
          <w:sz w:val="24"/>
          <w:szCs w:val="24"/>
          <w:lang w:val="el-GR"/>
        </w:rPr>
        <w:instrText xml:space="preserve"> SEQ Πίνακας \* ARABIC </w:instrText>
      </w:r>
      <w:r w:rsidRPr="00C761A3">
        <w:rPr>
          <w:rFonts w:asciiTheme="majorHAnsi" w:hAnsiTheme="majorHAnsi" w:cstheme="majorHAnsi"/>
          <w:b/>
          <w:bCs/>
          <w:i w:val="0"/>
          <w:iCs w:val="0"/>
          <w:color w:val="487B77" w:themeColor="accent6" w:themeShade="BF"/>
          <w:sz w:val="24"/>
          <w:szCs w:val="24"/>
          <w:lang w:val="el-GR"/>
        </w:rPr>
        <w:fldChar w:fldCharType="separate"/>
      </w:r>
      <w:r w:rsidRPr="00C761A3">
        <w:rPr>
          <w:rFonts w:asciiTheme="majorHAnsi" w:hAnsiTheme="majorHAnsi" w:cstheme="majorHAnsi"/>
          <w:b/>
          <w:bCs/>
          <w:i w:val="0"/>
          <w:iCs w:val="0"/>
          <w:color w:val="487B77" w:themeColor="accent6" w:themeShade="BF"/>
          <w:sz w:val="24"/>
          <w:szCs w:val="24"/>
          <w:lang w:val="el-GR"/>
        </w:rPr>
        <w:t>1</w:t>
      </w:r>
      <w:r w:rsidRPr="00C761A3">
        <w:rPr>
          <w:rFonts w:asciiTheme="majorHAnsi" w:hAnsiTheme="majorHAnsi" w:cstheme="majorHAnsi"/>
          <w:b/>
          <w:bCs/>
          <w:i w:val="0"/>
          <w:iCs w:val="0"/>
          <w:color w:val="487B77" w:themeColor="accent6" w:themeShade="BF"/>
          <w:sz w:val="24"/>
          <w:szCs w:val="24"/>
          <w:lang w:val="el-GR"/>
        </w:rPr>
        <w:fldChar w:fldCharType="end"/>
      </w:r>
      <w:r w:rsidRPr="00C761A3">
        <w:rPr>
          <w:rFonts w:asciiTheme="majorHAnsi" w:hAnsiTheme="majorHAnsi" w:cstheme="majorHAnsi"/>
          <w:b/>
          <w:bCs/>
          <w:i w:val="0"/>
          <w:iCs w:val="0"/>
          <w:color w:val="487B77" w:themeColor="accent6" w:themeShade="BF"/>
          <w:sz w:val="24"/>
          <w:szCs w:val="24"/>
          <w:lang w:val="el-GR"/>
        </w:rPr>
        <w:t xml:space="preserve">: Βασικά ευρήματα: </w:t>
      </w:r>
      <w:bookmarkEnd w:id="4"/>
      <w:r w:rsidR="000F26F8" w:rsidRPr="000F26F8">
        <w:rPr>
          <w:rFonts w:asciiTheme="majorHAnsi" w:hAnsiTheme="majorHAnsi" w:cstheme="majorHAnsi"/>
          <w:b/>
          <w:bCs/>
          <w:i w:val="0"/>
          <w:iCs w:val="0"/>
          <w:color w:val="487B77" w:themeColor="accent6" w:themeShade="BF"/>
          <w:sz w:val="24"/>
          <w:szCs w:val="24"/>
          <w:lang w:val="el-GR"/>
        </w:rPr>
        <w:t>Το τετράπτυχο της περιθωριοποίησης των ατόμων με αναπηρία στην Ελλάδα</w:t>
      </w:r>
    </w:p>
    <w:tbl>
      <w:tblPr>
        <w:tblStyle w:val="3-6"/>
        <w:tblW w:w="8897" w:type="dxa"/>
        <w:tblLook w:val="04A0" w:firstRow="1" w:lastRow="0" w:firstColumn="1" w:lastColumn="0" w:noHBand="0" w:noVBand="1"/>
      </w:tblPr>
      <w:tblGrid>
        <w:gridCol w:w="4077"/>
        <w:gridCol w:w="4820"/>
      </w:tblGrid>
      <w:tr w:rsidR="00665A0D" w:rsidRPr="001046C4" w14:paraId="57C12AD0" w14:textId="77777777" w:rsidTr="00080F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77" w:type="dxa"/>
          </w:tcPr>
          <w:p w14:paraId="073321C9" w14:textId="77777777" w:rsidR="00FE5B5F" w:rsidRPr="00665A0D" w:rsidRDefault="00FE5B5F" w:rsidP="00665A0D">
            <w:pPr>
              <w:jc w:val="center"/>
              <w:rPr>
                <w:rFonts w:ascii="Arial Nova Light" w:hAnsi="Arial Nova Light" w:cs="Arial"/>
                <w:color w:val="000000" w:themeColor="text1"/>
                <w:sz w:val="24"/>
                <w:szCs w:val="24"/>
                <w:lang w:val="el-GR"/>
              </w:rPr>
            </w:pPr>
            <w:r w:rsidRPr="00665A0D">
              <w:rPr>
                <w:rFonts w:ascii="Arial Nova Light" w:hAnsi="Arial Nova Light" w:cs="Arial"/>
                <w:color w:val="000000" w:themeColor="text1"/>
                <w:sz w:val="24"/>
                <w:szCs w:val="24"/>
                <w:lang w:val="el-GR"/>
              </w:rPr>
              <w:t>Θεματικός άξονας</w:t>
            </w:r>
          </w:p>
        </w:tc>
        <w:tc>
          <w:tcPr>
            <w:tcW w:w="4820" w:type="dxa"/>
          </w:tcPr>
          <w:p w14:paraId="4FA3BE1C" w14:textId="77777777" w:rsidR="00FE5B5F" w:rsidRPr="00665A0D" w:rsidRDefault="00FE5B5F" w:rsidP="00665A0D">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24"/>
                <w:szCs w:val="24"/>
                <w:lang w:val="el-GR"/>
              </w:rPr>
            </w:pPr>
            <w:r w:rsidRPr="00665A0D">
              <w:rPr>
                <w:rFonts w:ascii="Arial Nova Light" w:hAnsi="Arial Nova Light" w:cs="Arial"/>
                <w:color w:val="000000" w:themeColor="text1"/>
                <w:sz w:val="24"/>
                <w:szCs w:val="24"/>
                <w:lang w:val="el-GR"/>
              </w:rPr>
              <w:t>Βασικά Ευρήματα</w:t>
            </w:r>
          </w:p>
        </w:tc>
      </w:tr>
      <w:tr w:rsidR="00FE5B5F" w:rsidRPr="00A35D6D" w14:paraId="0F09AF4A" w14:textId="77777777" w:rsidTr="00080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289443F5" w14:textId="77777777" w:rsidR="00FE5B5F" w:rsidRPr="00665A0D" w:rsidRDefault="00FE5B5F" w:rsidP="007E0A30">
            <w:pPr>
              <w:rPr>
                <w:rFonts w:ascii="Arial Nova Light" w:hAnsi="Arial Nova Light" w:cs="Arial"/>
                <w:color w:val="134163" w:themeColor="accent2" w:themeShade="80"/>
                <w:sz w:val="24"/>
                <w:szCs w:val="24"/>
                <w:lang w:val="el-GR"/>
              </w:rPr>
            </w:pPr>
            <w:r w:rsidRPr="00665A0D">
              <w:rPr>
                <w:rFonts w:ascii="Arial Nova Light" w:hAnsi="Arial Nova Light" w:cs="Arial"/>
                <w:color w:val="134163" w:themeColor="accent2" w:themeShade="80"/>
                <w:sz w:val="24"/>
                <w:szCs w:val="24"/>
                <w:lang w:val="el-GR"/>
              </w:rPr>
              <w:t>Φτώχεια</w:t>
            </w:r>
          </w:p>
          <w:p w14:paraId="5AFFD20A" w14:textId="0917EBBD" w:rsidR="00FE5B5F" w:rsidRPr="00665A0D" w:rsidRDefault="00FE5B5F" w:rsidP="007E0A30">
            <w:pPr>
              <w:jc w:val="both"/>
              <w:rPr>
                <w:rFonts w:ascii="Arial Nova Light" w:hAnsi="Arial Nova Light" w:cs="Arial"/>
                <w:sz w:val="24"/>
                <w:szCs w:val="24"/>
                <w:lang w:val="el-GR"/>
              </w:rPr>
            </w:pPr>
            <w:r w:rsidRPr="00665A0D">
              <w:rPr>
                <w:rFonts w:ascii="Arial Nova Light" w:hAnsi="Arial Nova Light" w:cs="Arial"/>
                <w:sz w:val="24"/>
                <w:szCs w:val="24"/>
                <w:lang w:val="el-GR"/>
              </w:rPr>
              <w:t xml:space="preserve">Η φτώχεια των ατόμων με αναπηρία,  παραμένει ένα </w:t>
            </w:r>
            <w:r w:rsidR="00CD70B5">
              <w:rPr>
                <w:rFonts w:ascii="Arial Nova Light" w:hAnsi="Arial Nova Light" w:cs="Arial"/>
                <w:sz w:val="24"/>
                <w:szCs w:val="24"/>
                <w:lang w:val="el-GR"/>
              </w:rPr>
              <w:t>οξύ</w:t>
            </w:r>
            <w:r w:rsidRPr="00665A0D">
              <w:rPr>
                <w:rFonts w:ascii="Arial Nova Light" w:hAnsi="Arial Nova Light" w:cs="Arial"/>
                <w:sz w:val="24"/>
                <w:szCs w:val="24"/>
                <w:lang w:val="el-GR"/>
              </w:rPr>
              <w:t xml:space="preserve">, επίμονο και πολύπλοκο φαινόμενο. Κατά τη δεκαετία 2015-2024, παρότι καταγράφεται τάση σχετικής αποκλιμάκωσης της φτώχειας  στην πληθυσμό χωρίς αναπηρία (-7 μονάδες), στα άτομα με αναπηρία ο δείκτης φτώχειας ή/και κοινωνικού αποκλεισμού σημειώνει άνοδο (+3 μονάδες). Οι ανισότητες σε βάρος των ατόμων με αναπηρία εντείνονται και μεγάλο τμήμα </w:t>
            </w:r>
            <w:r w:rsidR="00CD70B5">
              <w:rPr>
                <w:rFonts w:ascii="Arial Nova Light" w:hAnsi="Arial Nova Light" w:cs="Arial"/>
                <w:sz w:val="24"/>
                <w:szCs w:val="24"/>
                <w:lang w:val="el-GR"/>
              </w:rPr>
              <w:t xml:space="preserve">αυτών, </w:t>
            </w:r>
            <w:r w:rsidRPr="00665A0D">
              <w:rPr>
                <w:rFonts w:ascii="Arial Nova Light" w:hAnsi="Arial Nova Light" w:cs="Arial"/>
                <w:sz w:val="24"/>
                <w:szCs w:val="24"/>
                <w:lang w:val="el-GR"/>
              </w:rPr>
              <w:t>αδυνατούν να ανταπεξέλθουν στα βασικά έξοδα διαβίωσης.  Σε συνθήκη πληθωριστικής κρίσης, το υπέρογκο κόστος στέγασης αποτελεί βασι</w:t>
            </w:r>
            <w:r w:rsidR="00CD70B5">
              <w:rPr>
                <w:rFonts w:ascii="Arial Nova Light" w:hAnsi="Arial Nova Light" w:cs="Arial"/>
                <w:sz w:val="24"/>
                <w:szCs w:val="24"/>
                <w:lang w:val="el-GR"/>
              </w:rPr>
              <w:t>κή</w:t>
            </w:r>
            <w:r w:rsidRPr="00665A0D">
              <w:rPr>
                <w:rFonts w:ascii="Arial Nova Light" w:hAnsi="Arial Nova Light" w:cs="Arial"/>
                <w:sz w:val="24"/>
                <w:szCs w:val="24"/>
                <w:lang w:val="el-GR"/>
              </w:rPr>
              <w:t xml:space="preserve"> παρ</w:t>
            </w:r>
            <w:r w:rsidR="00CD70B5">
              <w:rPr>
                <w:rFonts w:ascii="Arial Nova Light" w:hAnsi="Arial Nova Light" w:cs="Arial"/>
                <w:sz w:val="24"/>
                <w:szCs w:val="24"/>
                <w:lang w:val="el-GR"/>
              </w:rPr>
              <w:t xml:space="preserve">άμετρο </w:t>
            </w:r>
            <w:r w:rsidRPr="00665A0D">
              <w:rPr>
                <w:rFonts w:ascii="Arial Nova Light" w:hAnsi="Arial Nova Light" w:cs="Arial"/>
                <w:sz w:val="24"/>
                <w:szCs w:val="24"/>
                <w:lang w:val="el-GR"/>
              </w:rPr>
              <w:t xml:space="preserve">φτωχοποίησης του πληθυσμού. </w:t>
            </w:r>
          </w:p>
        </w:tc>
        <w:tc>
          <w:tcPr>
            <w:tcW w:w="4820" w:type="dxa"/>
          </w:tcPr>
          <w:p w14:paraId="1D7BB0CA" w14:textId="77777777" w:rsidR="000B4AC4" w:rsidRDefault="00FE5B5F" w:rsidP="007E0A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4"/>
                <w:szCs w:val="24"/>
                <w:lang w:val="el-GR"/>
              </w:rPr>
            </w:pPr>
            <w:r w:rsidRPr="00665A0D">
              <w:rPr>
                <w:rFonts w:ascii="Arial Narrow" w:hAnsi="Arial Narrow" w:cstheme="majorHAnsi"/>
                <w:sz w:val="24"/>
                <w:szCs w:val="24"/>
                <w:lang w:val="el-GR"/>
              </w:rPr>
              <w:t xml:space="preserve">- Το 2024, ο 1 στους 2 πολίτες με αναπηρία (16-64 ετών) ζουν σε συνθήκες φτώχειας ή/και κοινωνικού αποκλεισμού. Η χώρα κατέχει τη δεύτερη χειρότερη θέση </w:t>
            </w:r>
            <w:r w:rsidR="000B4AC4" w:rsidRPr="00665A0D">
              <w:rPr>
                <w:rFonts w:ascii="Arial Narrow" w:hAnsi="Arial Narrow" w:cstheme="majorHAnsi"/>
                <w:sz w:val="24"/>
                <w:szCs w:val="24"/>
                <w:lang w:val="el-GR"/>
              </w:rPr>
              <w:t xml:space="preserve">στην Ε.Ε. </w:t>
            </w:r>
            <w:r w:rsidRPr="00665A0D">
              <w:rPr>
                <w:rFonts w:ascii="Arial Narrow" w:hAnsi="Arial Narrow" w:cstheme="majorHAnsi"/>
                <w:sz w:val="24"/>
                <w:szCs w:val="24"/>
                <w:lang w:val="el-GR"/>
              </w:rPr>
              <w:t>(με ελάχιστή διαφορά της τάξεως του 0,1 από την Βουλγαρία)</w:t>
            </w:r>
            <w:r w:rsidR="000B4AC4">
              <w:rPr>
                <w:rFonts w:ascii="Arial Narrow" w:hAnsi="Arial Narrow" w:cstheme="majorHAnsi"/>
                <w:sz w:val="24"/>
                <w:szCs w:val="24"/>
                <w:lang w:val="el-GR"/>
              </w:rPr>
              <w:t>.</w:t>
            </w:r>
          </w:p>
          <w:p w14:paraId="34F945B2" w14:textId="77777777" w:rsidR="000B4AC4" w:rsidRDefault="000B4AC4" w:rsidP="007E0A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4"/>
                <w:szCs w:val="24"/>
                <w:lang w:val="el-GR"/>
              </w:rPr>
            </w:pPr>
            <w:r>
              <w:rPr>
                <w:rFonts w:ascii="Arial Narrow" w:hAnsi="Arial Narrow" w:cstheme="majorHAnsi"/>
                <w:sz w:val="24"/>
                <w:szCs w:val="24"/>
                <w:lang w:val="el-GR"/>
              </w:rPr>
              <w:t xml:space="preserve">- </w:t>
            </w:r>
            <w:r w:rsidR="00FE5B5F" w:rsidRPr="00665A0D">
              <w:rPr>
                <w:rFonts w:ascii="Arial Narrow" w:hAnsi="Arial Narrow" w:cstheme="majorHAnsi"/>
                <w:sz w:val="24"/>
                <w:szCs w:val="24"/>
                <w:lang w:val="el-GR"/>
              </w:rPr>
              <w:t xml:space="preserve">Συνεχόμενη </w:t>
            </w:r>
            <w:r>
              <w:rPr>
                <w:rFonts w:ascii="Arial Narrow" w:hAnsi="Arial Narrow" w:cstheme="majorHAnsi"/>
                <w:sz w:val="24"/>
                <w:szCs w:val="24"/>
                <w:lang w:val="el-GR"/>
              </w:rPr>
              <w:t xml:space="preserve">είναι η </w:t>
            </w:r>
            <w:r w:rsidR="00FE5B5F" w:rsidRPr="00665A0D">
              <w:rPr>
                <w:rFonts w:ascii="Arial Narrow" w:hAnsi="Arial Narrow" w:cstheme="majorHAnsi"/>
                <w:sz w:val="24"/>
                <w:szCs w:val="24"/>
                <w:lang w:val="el-GR"/>
              </w:rPr>
              <w:t>διαχρονική αύξηση του κινδύνου φτώχειας/αποκλεισμού και στον πληθυσμό 65 ετών και άνω. Οι 3 στους 10 με αναπηρία 65+ (30,2%) ζουν πλέον σε φτώχεια ή/και κοινωνικό αποκλεισμό.</w:t>
            </w:r>
          </w:p>
          <w:p w14:paraId="40EED904" w14:textId="77777777" w:rsidR="006708D5" w:rsidRDefault="00FE5B5F" w:rsidP="007E0A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4"/>
                <w:szCs w:val="24"/>
                <w:lang w:val="el-GR"/>
              </w:rPr>
            </w:pPr>
            <w:r w:rsidRPr="00665A0D">
              <w:rPr>
                <w:rFonts w:ascii="Arial Narrow" w:hAnsi="Arial Narrow" w:cstheme="majorHAnsi"/>
                <w:sz w:val="24"/>
                <w:szCs w:val="24"/>
                <w:lang w:val="el-GR"/>
              </w:rPr>
              <w:br/>
              <w:t>- Η Ελλάδα κατέχει αρνητική διάκριση και στον δείκτη «ποσοστό ατόμων με αναπηρία με ληξιπρόθεσμες οφειλές,  καταγράφοντας το υψηλότερο ποσοστό (44,5%), υπερτετραπλάσιο από τον ευρωπαϊκό μέσο όρο (10,2%).</w:t>
            </w:r>
            <w:r w:rsidRPr="00665A0D">
              <w:rPr>
                <w:rFonts w:ascii="Arial Narrow" w:hAnsi="Arial Narrow" w:cstheme="majorHAnsi"/>
                <w:sz w:val="24"/>
                <w:szCs w:val="24"/>
                <w:lang w:val="el-GR"/>
              </w:rPr>
              <w:br/>
            </w:r>
          </w:p>
          <w:p w14:paraId="2329A0C7" w14:textId="0158A642" w:rsidR="00FE5B5F" w:rsidRPr="00665A0D" w:rsidRDefault="00FE5B5F" w:rsidP="007E0A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4"/>
                <w:szCs w:val="24"/>
                <w:lang w:val="el-GR"/>
              </w:rPr>
            </w:pPr>
            <w:r w:rsidRPr="00665A0D">
              <w:rPr>
                <w:rFonts w:ascii="Arial Narrow" w:hAnsi="Arial Narrow" w:cstheme="majorHAnsi"/>
                <w:sz w:val="24"/>
                <w:szCs w:val="24"/>
                <w:lang w:val="el-GR"/>
              </w:rPr>
              <w:t xml:space="preserve">-Το 33% των ατόμων με αναπηρία ζουν σε νοικοκυριά με υπερβολική επιβάρυνση από το κόστος στέγασης, ποσοστό που είναι το υψηλότερο στην ΕΕ και σχεδόν τριπλάσιο του μέσου όρου ΕΕ. </w:t>
            </w:r>
          </w:p>
        </w:tc>
      </w:tr>
      <w:tr w:rsidR="00FE5B5F" w:rsidRPr="00A35D6D" w14:paraId="7C65D574" w14:textId="77777777" w:rsidTr="00080F8C">
        <w:tc>
          <w:tcPr>
            <w:cnfStyle w:val="001000000000" w:firstRow="0" w:lastRow="0" w:firstColumn="1" w:lastColumn="0" w:oddVBand="0" w:evenVBand="0" w:oddHBand="0" w:evenHBand="0" w:firstRowFirstColumn="0" w:firstRowLastColumn="0" w:lastRowFirstColumn="0" w:lastRowLastColumn="0"/>
            <w:tcW w:w="4077" w:type="dxa"/>
          </w:tcPr>
          <w:p w14:paraId="019657D1" w14:textId="77777777" w:rsidR="00FE5B5F" w:rsidRPr="00665A0D" w:rsidRDefault="00FE5B5F" w:rsidP="00665A0D">
            <w:pPr>
              <w:rPr>
                <w:rFonts w:ascii="Arial Nova Light" w:hAnsi="Arial Nova Light" w:cs="Arial"/>
                <w:color w:val="134163" w:themeColor="accent2" w:themeShade="80"/>
                <w:sz w:val="24"/>
                <w:szCs w:val="24"/>
                <w:lang w:val="el-GR"/>
              </w:rPr>
            </w:pPr>
            <w:r w:rsidRPr="00665A0D">
              <w:rPr>
                <w:rFonts w:ascii="Arial Nova Light" w:hAnsi="Arial Nova Light" w:cs="Arial"/>
                <w:color w:val="134163" w:themeColor="accent2" w:themeShade="80"/>
                <w:sz w:val="24"/>
                <w:szCs w:val="24"/>
                <w:lang w:val="el-GR"/>
              </w:rPr>
              <w:t>Εργασιακός Αποκλεισμός</w:t>
            </w:r>
          </w:p>
          <w:p w14:paraId="7FB3ADA9" w14:textId="77777777" w:rsidR="00FE5B5F" w:rsidRPr="00665A0D" w:rsidRDefault="00FE5B5F" w:rsidP="007E0A30">
            <w:pPr>
              <w:jc w:val="both"/>
              <w:rPr>
                <w:rFonts w:ascii="Arial Nova Light" w:hAnsi="Arial Nova Light" w:cs="Arial"/>
                <w:color w:val="000000" w:themeColor="text1"/>
                <w:sz w:val="24"/>
                <w:szCs w:val="24"/>
                <w:lang w:val="el-GR"/>
              </w:rPr>
            </w:pPr>
            <w:r w:rsidRPr="00665A0D">
              <w:rPr>
                <w:rFonts w:ascii="Arial Nova Light" w:eastAsiaTheme="majorEastAsia" w:hAnsi="Arial Nova Light" w:cs="Arial"/>
                <w:color w:val="000000" w:themeColor="text1"/>
                <w:sz w:val="24"/>
                <w:szCs w:val="24"/>
                <w:lang w:val="el-GR"/>
              </w:rPr>
              <w:t>Τα άτομα με αναπηρία/χρόνιες παθήσεις, αντιμετωπίζουν σοβαρό εργασιακό αποκλεισμό.</w:t>
            </w:r>
            <w:r w:rsidRPr="00665A0D">
              <w:rPr>
                <w:rFonts w:ascii="Arial Nova Light" w:hAnsi="Arial Nova Light" w:cs="Arial"/>
                <w:color w:val="000000" w:themeColor="text1"/>
                <w:sz w:val="24"/>
                <w:szCs w:val="24"/>
                <w:lang w:val="el-GR"/>
              </w:rPr>
              <w:t xml:space="preserve"> Η συντριπτική πλειονότητα των ατόμων με αναπηρία στην Ελλάδα όχι μόνο δεν εντάσσεται στην εργασία, αλλά βρίσκεται εκτός οικονομικά ενεργού πληθυσμού (εκτός εργατικού δυναμικού).</w:t>
            </w:r>
            <w:r w:rsidRPr="00665A0D">
              <w:rPr>
                <w:rFonts w:ascii="Arial Nova Light" w:hAnsi="Arial Nova Light" w:cs="Arial"/>
                <w:sz w:val="24"/>
                <w:szCs w:val="24"/>
                <w:lang w:val="el-GR"/>
              </w:rPr>
              <w:t xml:space="preserve"> Η άδικη διακοπή των επιδομάτων σε περίπτωση εργασίας αποτελεί βασικό εμπόδιο για τα άτομα με αναπηρία. </w:t>
            </w:r>
          </w:p>
          <w:p w14:paraId="2B1A2A34" w14:textId="77777777" w:rsidR="00FE5B5F" w:rsidRPr="00665A0D" w:rsidRDefault="00FE5B5F" w:rsidP="007E0A30">
            <w:pPr>
              <w:jc w:val="both"/>
              <w:rPr>
                <w:rFonts w:ascii="Arial Narrow" w:hAnsi="Arial Narrow"/>
                <w:color w:val="0D0D0D" w:themeColor="text1" w:themeTint="F2"/>
                <w:sz w:val="24"/>
                <w:szCs w:val="24"/>
                <w:lang w:val="el-GR"/>
              </w:rPr>
            </w:pPr>
            <w:r w:rsidRPr="00665A0D">
              <w:rPr>
                <w:rFonts w:ascii="Arial Nova Light" w:hAnsi="Arial Nova Light" w:cs="Arial"/>
                <w:color w:val="000000" w:themeColor="text1"/>
                <w:sz w:val="24"/>
                <w:szCs w:val="24"/>
                <w:lang w:val="el-GR"/>
              </w:rPr>
              <w:t>Το χάσμα απασχό</w:t>
            </w:r>
            <w:r w:rsidRPr="00665A0D">
              <w:rPr>
                <w:rFonts w:ascii="Arial Nova Light" w:hAnsi="Arial Nova Light" w:cs="Arial"/>
                <w:sz w:val="24"/>
                <w:szCs w:val="24"/>
                <w:lang w:val="el-GR"/>
              </w:rPr>
              <w:t>λ</w:t>
            </w:r>
            <w:r w:rsidRPr="00665A0D">
              <w:rPr>
                <w:rFonts w:ascii="Arial Nova Light" w:hAnsi="Arial Nova Light" w:cs="Arial"/>
                <w:color w:val="000000" w:themeColor="text1"/>
                <w:sz w:val="24"/>
                <w:szCs w:val="24"/>
                <w:lang w:val="el-GR"/>
              </w:rPr>
              <w:t xml:space="preserve">ησης καταγράφει επιδείνωση την τελευταία δεκαετία, οι </w:t>
            </w:r>
            <w:r w:rsidRPr="00665A0D">
              <w:rPr>
                <w:rFonts w:ascii="Arial Nova Light" w:hAnsi="Arial Nova Light" w:cs="Arial"/>
                <w:color w:val="000000" w:themeColor="text1"/>
                <w:sz w:val="24"/>
                <w:szCs w:val="24"/>
                <w:lang w:val="el-GR"/>
              </w:rPr>
              <w:lastRenderedPageBreak/>
              <w:t xml:space="preserve">εργασιακές ανισότητες </w:t>
            </w:r>
            <w:r w:rsidRPr="00665A0D">
              <w:rPr>
                <w:rFonts w:ascii="Arial Nova Light" w:hAnsi="Arial Nova Light" w:cs="Arial"/>
                <w:sz w:val="24"/>
                <w:szCs w:val="24"/>
                <w:lang w:val="el-GR"/>
              </w:rPr>
              <w:t xml:space="preserve">σε βάρος των ατόμων με αναπηρία </w:t>
            </w:r>
            <w:r w:rsidRPr="00665A0D">
              <w:rPr>
                <w:rFonts w:ascii="Arial Nova Light" w:hAnsi="Arial Nova Light" w:cs="Arial"/>
                <w:color w:val="000000" w:themeColor="text1"/>
                <w:sz w:val="24"/>
                <w:szCs w:val="24"/>
                <w:lang w:val="el-GR"/>
              </w:rPr>
              <w:t>διευρύνονται.</w:t>
            </w:r>
            <w:r w:rsidRPr="00665A0D">
              <w:rPr>
                <w:rFonts w:ascii="Arial Narrow" w:hAnsi="Arial Narrow"/>
                <w:color w:val="0D0D0D" w:themeColor="text1" w:themeTint="F2"/>
                <w:sz w:val="24"/>
                <w:szCs w:val="24"/>
                <w:lang w:val="el-GR"/>
              </w:rPr>
              <w:t xml:space="preserve"> </w:t>
            </w:r>
          </w:p>
        </w:tc>
        <w:tc>
          <w:tcPr>
            <w:tcW w:w="4820" w:type="dxa"/>
          </w:tcPr>
          <w:p w14:paraId="24B0BA91" w14:textId="757C596F" w:rsidR="006708D5" w:rsidRDefault="00FE5B5F" w:rsidP="0098570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4"/>
                <w:szCs w:val="24"/>
                <w:lang w:val="el-GR"/>
              </w:rPr>
            </w:pPr>
            <w:r w:rsidRPr="00665A0D">
              <w:rPr>
                <w:rFonts w:ascii="Arial Narrow" w:hAnsi="Arial Narrow"/>
                <w:color w:val="0D0D0D" w:themeColor="text1" w:themeTint="F2"/>
                <w:sz w:val="24"/>
                <w:szCs w:val="24"/>
                <w:lang w:val="el-GR"/>
              </w:rPr>
              <w:lastRenderedPageBreak/>
              <w:t>- Η συμμετοχή των ατόμων με αναπηρία στο</w:t>
            </w:r>
            <w:r w:rsidR="00525444">
              <w:rPr>
                <w:rFonts w:ascii="Arial Narrow" w:hAnsi="Arial Narrow"/>
                <w:color w:val="0D0D0D" w:themeColor="text1" w:themeTint="F2"/>
                <w:sz w:val="24"/>
                <w:szCs w:val="24"/>
                <w:lang w:val="el-GR"/>
              </w:rPr>
              <w:t>ν</w:t>
            </w:r>
            <w:r w:rsidRPr="00665A0D">
              <w:rPr>
                <w:rFonts w:ascii="Arial Narrow" w:hAnsi="Arial Narrow"/>
                <w:color w:val="0D0D0D" w:themeColor="text1" w:themeTint="F2"/>
                <w:sz w:val="24"/>
                <w:szCs w:val="24"/>
                <w:lang w:val="el-GR"/>
              </w:rPr>
              <w:t xml:space="preserve"> οικονομικά ενεργό πληθυσμό (εργατικό δυναμικό) είναι μόλις 25,3%, δεύτερη χαμηλότερη </w:t>
            </w:r>
            <w:r w:rsidR="00525444">
              <w:rPr>
                <w:rFonts w:ascii="Arial Narrow" w:hAnsi="Arial Narrow"/>
                <w:color w:val="0D0D0D" w:themeColor="text1" w:themeTint="F2"/>
                <w:sz w:val="24"/>
                <w:szCs w:val="24"/>
                <w:lang w:val="el-GR"/>
              </w:rPr>
              <w:t xml:space="preserve">τιμή του δείκτη </w:t>
            </w:r>
            <w:r w:rsidRPr="00665A0D">
              <w:rPr>
                <w:rFonts w:ascii="Arial Narrow" w:hAnsi="Arial Narrow"/>
                <w:color w:val="0D0D0D" w:themeColor="text1" w:themeTint="F2"/>
                <w:sz w:val="24"/>
                <w:szCs w:val="24"/>
                <w:lang w:val="el-GR"/>
              </w:rPr>
              <w:t>στην ΕΕ</w:t>
            </w:r>
            <w:r w:rsidR="00525444">
              <w:rPr>
                <w:rFonts w:ascii="Arial Narrow" w:hAnsi="Arial Narrow"/>
                <w:color w:val="0D0D0D" w:themeColor="text1" w:themeTint="F2"/>
                <w:sz w:val="24"/>
                <w:szCs w:val="24"/>
                <w:lang w:val="el-GR"/>
              </w:rPr>
              <w:t xml:space="preserve">-27 </w:t>
            </w:r>
            <w:r w:rsidRPr="00665A0D">
              <w:rPr>
                <w:rFonts w:ascii="Arial Narrow" w:hAnsi="Arial Narrow"/>
                <w:color w:val="0D0D0D" w:themeColor="text1" w:themeTint="F2"/>
                <w:sz w:val="24"/>
                <w:szCs w:val="24"/>
                <w:lang w:val="el-GR"/>
              </w:rPr>
              <w:t xml:space="preserve"> (μέσος όρος</w:t>
            </w:r>
            <w:r w:rsidR="00525444">
              <w:rPr>
                <w:rFonts w:ascii="Arial Narrow" w:hAnsi="Arial Narrow"/>
                <w:color w:val="0D0D0D" w:themeColor="text1" w:themeTint="F2"/>
                <w:sz w:val="24"/>
                <w:szCs w:val="24"/>
                <w:lang w:val="el-GR"/>
              </w:rPr>
              <w:t xml:space="preserve"> Ε.Ε.</w:t>
            </w:r>
            <w:r w:rsidRPr="00665A0D">
              <w:rPr>
                <w:rFonts w:ascii="Arial Narrow" w:hAnsi="Arial Narrow"/>
                <w:color w:val="0D0D0D" w:themeColor="text1" w:themeTint="F2"/>
                <w:sz w:val="24"/>
                <w:szCs w:val="24"/>
                <w:lang w:val="el-GR"/>
              </w:rPr>
              <w:t>: 56,4%).</w:t>
            </w:r>
          </w:p>
          <w:p w14:paraId="25D1CB02" w14:textId="389025E6" w:rsidR="00FE5B5F" w:rsidRPr="00665A0D" w:rsidRDefault="00FE5B5F" w:rsidP="0098570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D0D0D" w:themeColor="text1" w:themeTint="F2"/>
                <w:sz w:val="24"/>
                <w:szCs w:val="24"/>
                <w:lang w:val="el-GR"/>
              </w:rPr>
            </w:pPr>
            <w:r w:rsidRPr="00665A0D">
              <w:rPr>
                <w:rFonts w:ascii="Arial Narrow" w:hAnsi="Arial Narrow"/>
                <w:color w:val="0D0D0D" w:themeColor="text1" w:themeTint="F2"/>
                <w:sz w:val="24"/>
                <w:szCs w:val="24"/>
                <w:lang w:val="el-GR"/>
              </w:rPr>
              <w:br/>
              <w:t xml:space="preserve">- Το χάσμα απασχόλησης </w:t>
            </w:r>
            <w:r w:rsidR="00525444">
              <w:rPr>
                <w:rFonts w:ascii="Arial Narrow" w:hAnsi="Arial Narrow"/>
                <w:color w:val="0D0D0D" w:themeColor="text1" w:themeTint="F2"/>
                <w:sz w:val="24"/>
                <w:szCs w:val="24"/>
                <w:lang w:val="el-GR"/>
              </w:rPr>
              <w:t xml:space="preserve">των ατόμων με αναπηρία </w:t>
            </w:r>
            <w:r w:rsidRPr="00665A0D">
              <w:rPr>
                <w:rFonts w:ascii="Arial Narrow" w:hAnsi="Arial Narrow"/>
                <w:color w:val="0D0D0D" w:themeColor="text1" w:themeTint="F2"/>
                <w:sz w:val="24"/>
                <w:szCs w:val="24"/>
                <w:lang w:val="el-GR"/>
              </w:rPr>
              <w:t>διευρύνθηκε σημαντικά: από 20,4 μονάδες το 2015 σε 28,5 μονάδες το 2024.</w:t>
            </w:r>
          </w:p>
        </w:tc>
      </w:tr>
      <w:tr w:rsidR="00FE5B5F" w:rsidRPr="00A35D6D" w14:paraId="1EB39AA3" w14:textId="77777777" w:rsidTr="00080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9BAB927" w14:textId="77777777" w:rsidR="00FE5B5F" w:rsidRPr="00665A0D" w:rsidRDefault="00FE5B5F" w:rsidP="007E0A30">
            <w:pPr>
              <w:jc w:val="both"/>
              <w:rPr>
                <w:rFonts w:ascii="Arial Nova Light" w:hAnsi="Arial Nova Light" w:cs="Arial"/>
                <w:b w:val="0"/>
                <w:bCs w:val="0"/>
                <w:color w:val="134163" w:themeColor="accent2" w:themeShade="80"/>
                <w:sz w:val="24"/>
                <w:szCs w:val="24"/>
                <w:lang w:val="el-GR"/>
              </w:rPr>
            </w:pPr>
            <w:r w:rsidRPr="00665A0D">
              <w:rPr>
                <w:rFonts w:ascii="Arial Nova Light" w:hAnsi="Arial Nova Light" w:cs="Arial"/>
                <w:color w:val="134163" w:themeColor="accent2" w:themeShade="80"/>
                <w:sz w:val="24"/>
                <w:szCs w:val="24"/>
                <w:lang w:val="el-GR"/>
              </w:rPr>
              <w:t>Ελλειμματική Κοινωνική Προστασία</w:t>
            </w:r>
          </w:p>
          <w:p w14:paraId="3B5DEA4E" w14:textId="40D9D8E5" w:rsidR="00FE5B5F" w:rsidRPr="00665A0D" w:rsidRDefault="00FE5B5F" w:rsidP="007E0A30">
            <w:pPr>
              <w:jc w:val="both"/>
              <w:rPr>
                <w:rFonts w:ascii="Arial Nova Light" w:hAnsi="Arial Nova Light" w:cs="Arial"/>
                <w:color w:val="000000" w:themeColor="text1"/>
                <w:sz w:val="24"/>
                <w:szCs w:val="24"/>
                <w:lang w:val="el-GR"/>
              </w:rPr>
            </w:pPr>
            <w:r w:rsidRPr="00665A0D">
              <w:rPr>
                <w:rFonts w:ascii="Arial Nova Light" w:hAnsi="Arial Nova Light" w:cs="Arial"/>
                <w:sz w:val="24"/>
                <w:szCs w:val="24"/>
                <w:lang w:val="el-GR"/>
              </w:rPr>
              <w:t>Η</w:t>
            </w:r>
            <w:r w:rsidRPr="00665A0D">
              <w:rPr>
                <w:rFonts w:ascii="Arial Nova Light" w:eastAsiaTheme="majorEastAsia" w:hAnsi="Arial Nova Light" w:cs="Arial"/>
                <w:color w:val="000000" w:themeColor="text1"/>
                <w:sz w:val="24"/>
                <w:szCs w:val="24"/>
                <w:lang w:val="el-GR"/>
              </w:rPr>
              <w:t xml:space="preserve"> μειωμένη απόδοση των δαπανών κοινωνικής προστασίας στην Ελλάδα</w:t>
            </w:r>
            <w:r w:rsidRPr="00665A0D">
              <w:rPr>
                <w:rFonts w:ascii="Arial Nova Light" w:hAnsi="Arial Nova Light" w:cs="Arial"/>
                <w:sz w:val="24"/>
                <w:szCs w:val="24"/>
                <w:lang w:val="el-GR"/>
              </w:rPr>
              <w:t xml:space="preserve"> αποτελεί διαχρονικό φαινόμενο. Σε αυτή την αναποτελεσματικότητα</w:t>
            </w:r>
            <w:r w:rsidR="00324D05">
              <w:rPr>
                <w:rFonts w:ascii="Arial Nova Light" w:hAnsi="Arial Nova Light" w:cs="Arial"/>
                <w:sz w:val="24"/>
                <w:szCs w:val="24"/>
                <w:lang w:val="el-GR"/>
              </w:rPr>
              <w:t>,</w:t>
            </w:r>
            <w:r w:rsidRPr="00665A0D">
              <w:rPr>
                <w:rFonts w:ascii="Arial Nova Light" w:hAnsi="Arial Nova Light" w:cs="Arial"/>
                <w:sz w:val="24"/>
                <w:szCs w:val="24"/>
                <w:lang w:val="el-GR"/>
              </w:rPr>
              <w:t xml:space="preserve"> συντελεί </w:t>
            </w:r>
            <w:r w:rsidRPr="00665A0D">
              <w:rPr>
                <w:rFonts w:ascii="Arial Nova Light" w:eastAsiaTheme="majorEastAsia" w:hAnsi="Arial Nova Light" w:cs="Arial"/>
                <w:color w:val="000000" w:themeColor="text1"/>
                <w:sz w:val="24"/>
                <w:szCs w:val="24"/>
                <w:lang w:val="el-GR"/>
              </w:rPr>
              <w:t xml:space="preserve"> η διάρθρωση των κοινωνικών μεταβιβάσεων που στην πλειονότητά τους αφορούν στις συντάξεις γήρατος. Η κοινωνική προστασία των ατόμων με αναπηρία, δομήθηκε στη βάση του αναχρονιστικού ιατρικού μοντέλου και περιορίστηκε σε μια μονοδιάστατη προνοιακή αντίληψη</w:t>
            </w:r>
            <w:r w:rsidRPr="00665A0D">
              <w:rPr>
                <w:rFonts w:ascii="Arial Nova Light" w:hAnsi="Arial Nova Light" w:cs="Arial"/>
                <w:color w:val="000000" w:themeColor="text1"/>
                <w:sz w:val="24"/>
                <w:szCs w:val="24"/>
                <w:lang w:val="el-GR"/>
              </w:rPr>
              <w:t xml:space="preserve"> με </w:t>
            </w:r>
            <w:r w:rsidRPr="00665A0D">
              <w:rPr>
                <w:rFonts w:ascii="Arial Nova Light" w:eastAsiaTheme="majorEastAsia" w:hAnsi="Arial Nova Light" w:cs="Arial"/>
                <w:color w:val="000000" w:themeColor="text1"/>
                <w:sz w:val="24"/>
                <w:szCs w:val="24"/>
                <w:lang w:val="el-GR"/>
              </w:rPr>
              <w:t xml:space="preserve">απουσία δομών και υπηρεσιών που να υποστηρίζουν την ανεξάρτητη διαβίωση. </w:t>
            </w:r>
            <w:r w:rsidRPr="00665A0D">
              <w:rPr>
                <w:rFonts w:ascii="Arial Nova Light" w:hAnsi="Arial Nova Light" w:cs="Arial"/>
                <w:sz w:val="24"/>
                <w:szCs w:val="24"/>
                <w:lang w:val="el-GR"/>
              </w:rPr>
              <w:t xml:space="preserve">Η επίδραση των κοινωνικών μεταβιβάσεων στη μείωση της φτώχειας των ατόμων με αναπηρία είναι πολύ μικρή. </w:t>
            </w:r>
          </w:p>
        </w:tc>
        <w:tc>
          <w:tcPr>
            <w:tcW w:w="4820" w:type="dxa"/>
          </w:tcPr>
          <w:p w14:paraId="458600CF" w14:textId="77777777" w:rsidR="00324D05" w:rsidRDefault="00FE5B5F" w:rsidP="0098570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heme="majorBidi"/>
                <w:color w:val="0D0D0D" w:themeColor="text1" w:themeTint="F2"/>
                <w:sz w:val="24"/>
                <w:szCs w:val="24"/>
                <w:lang w:val="el-GR"/>
              </w:rPr>
            </w:pPr>
            <w:r w:rsidRPr="00665A0D">
              <w:rPr>
                <w:rFonts w:ascii="Arial Narrow" w:hAnsi="Arial Narrow" w:cstheme="majorBidi"/>
                <w:color w:val="0D0D0D" w:themeColor="text1" w:themeTint="F2"/>
                <w:sz w:val="24"/>
                <w:szCs w:val="24"/>
                <w:lang w:val="el-GR"/>
              </w:rPr>
              <w:t>- Το 2024, η Ελλάδα καταγράφει τη χαμηλότερη τιμή στην «Επίδραση των κοινωνικών μεταβιβάσεων (εξαιρουμένων των συντάξεων) στη μείωση της φτώχειας» που υπολογίστηκε σε 16,6 (ΕΕ: 34,4).</w:t>
            </w:r>
            <w:r w:rsidRPr="00665A0D">
              <w:rPr>
                <w:rFonts w:ascii="Arial Narrow" w:hAnsi="Arial Narrow" w:cstheme="majorBidi"/>
                <w:color w:val="0D0D0D" w:themeColor="text1" w:themeTint="F2"/>
                <w:sz w:val="24"/>
                <w:szCs w:val="24"/>
                <w:lang w:val="el-GR"/>
              </w:rPr>
              <w:br/>
            </w:r>
          </w:p>
          <w:p w14:paraId="1CF283B6" w14:textId="71AB7DFD" w:rsidR="00FE5B5F" w:rsidRPr="00665A0D" w:rsidRDefault="00FE5B5F" w:rsidP="0098570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heme="majorBidi"/>
                <w:color w:val="0D0D0D" w:themeColor="text1" w:themeTint="F2"/>
                <w:sz w:val="24"/>
                <w:szCs w:val="24"/>
                <w:lang w:val="el-GR"/>
              </w:rPr>
            </w:pPr>
            <w:r w:rsidRPr="00665A0D">
              <w:rPr>
                <w:rFonts w:ascii="Arial Narrow" w:hAnsi="Arial Narrow" w:cstheme="majorBidi"/>
                <w:color w:val="0D0D0D" w:themeColor="text1" w:themeTint="F2"/>
                <w:sz w:val="24"/>
                <w:szCs w:val="24"/>
                <w:lang w:val="el-GR"/>
              </w:rPr>
              <w:t xml:space="preserve">- Ειδικότερα στα άτομα με αναπηρία 16-64 ετών, η μείωση της φτώχειας λόγω των κοινωνικών μεταβιβάσεων (περιλαμβανομένων </w:t>
            </w:r>
            <w:r w:rsidR="00324D05">
              <w:rPr>
                <w:rFonts w:ascii="Arial Narrow" w:hAnsi="Arial Narrow" w:cstheme="majorBidi"/>
                <w:color w:val="0D0D0D" w:themeColor="text1" w:themeTint="F2"/>
                <w:sz w:val="24"/>
                <w:szCs w:val="24"/>
                <w:lang w:val="el-GR"/>
              </w:rPr>
              <w:t xml:space="preserve">και </w:t>
            </w:r>
            <w:r w:rsidRPr="00665A0D">
              <w:rPr>
                <w:rFonts w:ascii="Arial Narrow" w:hAnsi="Arial Narrow" w:cstheme="majorBidi"/>
                <w:color w:val="0D0D0D" w:themeColor="text1" w:themeTint="F2"/>
                <w:sz w:val="24"/>
                <w:szCs w:val="24"/>
                <w:lang w:val="el-GR"/>
              </w:rPr>
              <w:t xml:space="preserve">των συντάξεων), είναι μόλις 5,3 μονάδες, φέρνοντας </w:t>
            </w:r>
            <w:r w:rsidRPr="00665A0D">
              <w:rPr>
                <w:rFonts w:ascii="Arial Narrow" w:hAnsi="Arial Narrow"/>
                <w:color w:val="0D0D0D" w:themeColor="text1" w:themeTint="F2"/>
                <w:sz w:val="24"/>
                <w:szCs w:val="24"/>
                <w:lang w:val="el-GR"/>
              </w:rPr>
              <w:t xml:space="preserve">την χώρα </w:t>
            </w:r>
            <w:r w:rsidRPr="00665A0D">
              <w:rPr>
                <w:rFonts w:ascii="Arial Narrow" w:hAnsi="Arial Narrow" w:cstheme="majorBidi"/>
                <w:color w:val="0D0D0D" w:themeColor="text1" w:themeTint="F2"/>
                <w:sz w:val="24"/>
                <w:szCs w:val="24"/>
                <w:lang w:val="el-GR"/>
              </w:rPr>
              <w:t xml:space="preserve">στην τελευταία θέση στην ΕΕ των 27. </w:t>
            </w:r>
          </w:p>
        </w:tc>
      </w:tr>
      <w:tr w:rsidR="00FE5B5F" w:rsidRPr="00A35D6D" w14:paraId="3FDFC9D1" w14:textId="77777777" w:rsidTr="00080F8C">
        <w:tc>
          <w:tcPr>
            <w:cnfStyle w:val="001000000000" w:firstRow="0" w:lastRow="0" w:firstColumn="1" w:lastColumn="0" w:oddVBand="0" w:evenVBand="0" w:oddHBand="0" w:evenHBand="0" w:firstRowFirstColumn="0" w:firstRowLastColumn="0" w:lastRowFirstColumn="0" w:lastRowLastColumn="0"/>
            <w:tcW w:w="4077" w:type="dxa"/>
          </w:tcPr>
          <w:p w14:paraId="5060E5D7" w14:textId="5B0D421A" w:rsidR="00665A0D" w:rsidRPr="00665A0D" w:rsidRDefault="00FE5B5F" w:rsidP="007E0A30">
            <w:pPr>
              <w:jc w:val="both"/>
              <w:rPr>
                <w:rFonts w:ascii="Arial Nova Light" w:hAnsi="Arial Nova Light" w:cs="Arial"/>
                <w:b w:val="0"/>
                <w:bCs w:val="0"/>
                <w:color w:val="134163" w:themeColor="accent2" w:themeShade="80"/>
                <w:sz w:val="24"/>
                <w:szCs w:val="24"/>
                <w:lang w:val="el-GR"/>
              </w:rPr>
            </w:pPr>
            <w:r w:rsidRPr="00665A0D">
              <w:rPr>
                <w:rFonts w:ascii="Arial Nova Light" w:hAnsi="Arial Nova Light" w:cs="Arial"/>
                <w:color w:val="134163" w:themeColor="accent2" w:themeShade="80"/>
                <w:sz w:val="24"/>
                <w:szCs w:val="24"/>
                <w:lang w:val="el-GR"/>
              </w:rPr>
              <w:t>Υγεία από την τσέπη των νοικοκυριών</w:t>
            </w:r>
          </w:p>
          <w:p w14:paraId="6B40178F" w14:textId="273CB42F" w:rsidR="00FE5B5F" w:rsidRPr="00665A0D" w:rsidRDefault="00FE5B5F" w:rsidP="007E0A30">
            <w:pPr>
              <w:jc w:val="both"/>
              <w:rPr>
                <w:rFonts w:ascii="Arial Narrow" w:hAnsi="Arial Narrow"/>
                <w:sz w:val="24"/>
                <w:szCs w:val="24"/>
                <w:lang w:val="el-GR"/>
              </w:rPr>
            </w:pPr>
            <w:r w:rsidRPr="00665A0D">
              <w:rPr>
                <w:rFonts w:ascii="Arial Nova Light" w:eastAsiaTheme="majorEastAsia" w:hAnsi="Arial Nova Light" w:cs="Arial"/>
                <w:color w:val="000000" w:themeColor="text1"/>
                <w:sz w:val="24"/>
                <w:szCs w:val="24"/>
                <w:lang w:val="el-GR"/>
              </w:rPr>
              <w:t xml:space="preserve">Η σταθερή υποχρηματοδότηση του ΕΣΥ,  αφενός έχει οδηγήσει στις τεράστιες γνωστές δυσλειτουργίες, αφετέρου </w:t>
            </w:r>
            <w:r w:rsidRPr="00665A0D">
              <w:rPr>
                <w:rFonts w:ascii="Arial Nova Light" w:hAnsi="Arial Nova Light" w:cs="Arial"/>
                <w:sz w:val="24"/>
                <w:szCs w:val="24"/>
                <w:lang w:val="el-GR"/>
              </w:rPr>
              <w:t>μετακυλείει</w:t>
            </w:r>
            <w:r w:rsidRPr="00665A0D">
              <w:rPr>
                <w:rFonts w:ascii="Arial Nova Light" w:eastAsiaTheme="majorEastAsia" w:hAnsi="Arial Nova Light" w:cs="Arial"/>
                <w:color w:val="000000" w:themeColor="text1"/>
                <w:sz w:val="24"/>
                <w:szCs w:val="24"/>
                <w:lang w:val="el-GR"/>
              </w:rPr>
              <w:t xml:space="preserve"> </w:t>
            </w:r>
            <w:r w:rsidRPr="00665A0D">
              <w:rPr>
                <w:rFonts w:ascii="Arial Nova Light" w:hAnsi="Arial Nova Light" w:cs="Arial"/>
                <w:sz w:val="24"/>
                <w:szCs w:val="24"/>
                <w:lang w:val="el-GR"/>
              </w:rPr>
              <w:t xml:space="preserve">σταθερά </w:t>
            </w:r>
            <w:r w:rsidRPr="00665A0D">
              <w:rPr>
                <w:rFonts w:ascii="Arial Nova Light" w:eastAsiaTheme="majorEastAsia" w:hAnsi="Arial Nova Light" w:cs="Arial"/>
                <w:color w:val="000000" w:themeColor="text1"/>
                <w:sz w:val="24"/>
                <w:szCs w:val="24"/>
                <w:lang w:val="el-GR"/>
              </w:rPr>
              <w:t>το κόστος της υγείας στους πολίτες</w:t>
            </w:r>
            <w:r w:rsidRPr="00665A0D">
              <w:rPr>
                <w:rFonts w:ascii="Arial Nova Light" w:hAnsi="Arial Nova Light" w:cs="Arial"/>
                <w:sz w:val="24"/>
                <w:szCs w:val="24"/>
                <w:lang w:val="el-GR"/>
              </w:rPr>
              <w:t xml:space="preserve">. Η τεράστια επιβάρυνση από το  ανελαστικό κόστος που επωμίζονται οι πολίτες με αναπηρία για υπηρεσίες και αγαθά υγείας αποτελεί βασικό παράγοντα της </w:t>
            </w:r>
            <w:r w:rsidR="00425E15" w:rsidRPr="00665A0D">
              <w:rPr>
                <w:rFonts w:ascii="Arial Nova Light" w:hAnsi="Arial Nova Light" w:cs="Arial"/>
                <w:sz w:val="24"/>
                <w:szCs w:val="24"/>
                <w:lang w:val="el-GR"/>
              </w:rPr>
              <w:t>φτωχοποίησ</w:t>
            </w:r>
            <w:r w:rsidR="00425E15">
              <w:rPr>
                <w:rFonts w:ascii="Arial Nova Light" w:hAnsi="Arial Nova Light" w:cs="Arial"/>
                <w:sz w:val="24"/>
                <w:szCs w:val="24"/>
                <w:lang w:val="el-GR"/>
              </w:rPr>
              <w:t>ή</w:t>
            </w:r>
            <w:r w:rsidR="00425E15" w:rsidRPr="00665A0D">
              <w:rPr>
                <w:rFonts w:ascii="Arial Nova Light" w:hAnsi="Arial Nova Light" w:cs="Arial"/>
                <w:sz w:val="24"/>
                <w:szCs w:val="24"/>
                <w:lang w:val="el-GR"/>
              </w:rPr>
              <w:t xml:space="preserve">ς </w:t>
            </w:r>
            <w:r w:rsidRPr="00665A0D">
              <w:rPr>
                <w:rFonts w:ascii="Arial Nova Light" w:hAnsi="Arial Nova Light" w:cs="Arial"/>
                <w:sz w:val="24"/>
                <w:szCs w:val="24"/>
                <w:lang w:val="el-GR"/>
              </w:rPr>
              <w:t>τους.</w:t>
            </w:r>
          </w:p>
        </w:tc>
        <w:tc>
          <w:tcPr>
            <w:tcW w:w="4820" w:type="dxa"/>
          </w:tcPr>
          <w:p w14:paraId="14D4B992" w14:textId="77777777" w:rsidR="00FE5B5F" w:rsidRPr="00665A0D" w:rsidRDefault="00FE5B5F" w:rsidP="00D16A6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heme="majorBidi"/>
                <w:color w:val="0D0D0D" w:themeColor="text1" w:themeTint="F2"/>
                <w:sz w:val="24"/>
                <w:szCs w:val="24"/>
                <w:lang w:val="el-GR"/>
              </w:rPr>
            </w:pPr>
            <w:r w:rsidRPr="00665A0D">
              <w:rPr>
                <w:rFonts w:ascii="Arial Narrow" w:hAnsi="Arial Narrow" w:cstheme="majorBidi"/>
                <w:color w:val="0D0D0D" w:themeColor="text1" w:themeTint="F2"/>
                <w:sz w:val="24"/>
                <w:szCs w:val="24"/>
                <w:lang w:val="el-GR"/>
              </w:rPr>
              <w:t>- Η Ελλάδα έχει το δεύτερο υψηλότερο ποσοστό ιδιωτικών πληρωμών για την υγεία στην ΕΕ: 34,3% των άμεσων δαπανών για την υγεία καλύπτονται απευθείας από την τσέπη των νοικοκυριών.</w:t>
            </w:r>
            <w:r w:rsidRPr="00665A0D">
              <w:rPr>
                <w:rFonts w:ascii="Arial Narrow" w:hAnsi="Arial Narrow" w:cstheme="majorBidi"/>
                <w:color w:val="0D0D0D" w:themeColor="text1" w:themeTint="F2"/>
                <w:sz w:val="24"/>
                <w:szCs w:val="24"/>
                <w:lang w:val="el-GR"/>
              </w:rPr>
              <w:br/>
              <w:t xml:space="preserve">- Η συνολική εξάρτηση από ιδιωτική δαπάνη φτάνει το 2023 στο 39% (μαζί με τις δαπάνες για ιδιωτική ασφάλιση υγείας), </w:t>
            </w:r>
            <w:r w:rsidRPr="00665A0D">
              <w:rPr>
                <w:rFonts w:ascii="Arial Narrow" w:eastAsiaTheme="majorEastAsia" w:hAnsi="Arial Narrow" w:cstheme="majorBidi"/>
                <w:color w:val="0D0D0D" w:themeColor="text1" w:themeTint="F2"/>
                <w:sz w:val="24"/>
                <w:szCs w:val="24"/>
                <w:lang w:val="el-GR"/>
              </w:rPr>
              <w:t>ενώ από το 2020 και έπειτα καταγράφει σταθερή αύξηση που σωρευτικά υπολογίζεται σε 28% (από 5.729 εκατ. το 2019 σε 7.303 εκατ. Ευρώ το 2023)</w:t>
            </w:r>
            <w:r w:rsidRPr="00665A0D">
              <w:rPr>
                <w:rFonts w:ascii="Arial Narrow" w:hAnsi="Arial Narrow" w:cstheme="majorBidi"/>
                <w:color w:val="0D0D0D" w:themeColor="text1" w:themeTint="F2"/>
                <w:sz w:val="24"/>
                <w:szCs w:val="24"/>
                <w:lang w:val="el-GR"/>
              </w:rPr>
              <w:br/>
              <w:t>- Οι 8 στους 10 πολίτες με αναπηρία έχουν μειώσει βασικές δαπάνες διαβίωσης για να καλύψουν ανάγκες υγείας.</w:t>
            </w:r>
          </w:p>
        </w:tc>
      </w:tr>
    </w:tbl>
    <w:p w14:paraId="1FE0B0E9" w14:textId="00F73E3F" w:rsidR="00BB14C3" w:rsidRDefault="00B44236" w:rsidP="00BE347B">
      <w:pPr>
        <w:pStyle w:val="10"/>
        <w:numPr>
          <w:ilvl w:val="0"/>
          <w:numId w:val="0"/>
        </w:numPr>
        <w:spacing w:before="600" w:after="240"/>
        <w:jc w:val="center"/>
        <w:rPr>
          <w:b/>
          <w:bCs/>
          <w:color w:val="000000" w:themeColor="text1"/>
          <w:u w:val="single"/>
          <w:lang w:val="el-GR"/>
        </w:rPr>
      </w:pPr>
      <w:r w:rsidRPr="00B47084">
        <w:rPr>
          <w:b/>
          <w:bCs/>
          <w:color w:val="000000" w:themeColor="text1"/>
          <w:u w:val="single"/>
          <w:lang w:val="el-GR"/>
        </w:rPr>
        <w:br w:type="page"/>
      </w:r>
      <w:bookmarkEnd w:id="3"/>
    </w:p>
    <w:p w14:paraId="212851BE" w14:textId="3C8C66CB" w:rsidR="007D51AE" w:rsidRPr="00CC2A02" w:rsidRDefault="00B44236" w:rsidP="00BE347B">
      <w:pPr>
        <w:pStyle w:val="10"/>
        <w:numPr>
          <w:ilvl w:val="0"/>
          <w:numId w:val="0"/>
        </w:numPr>
        <w:spacing w:before="600" w:after="240"/>
        <w:jc w:val="center"/>
        <w:rPr>
          <w:b/>
          <w:bCs/>
          <w:color w:val="000000" w:themeColor="text1"/>
          <w:u w:val="single"/>
          <w:lang w:val="el-GR"/>
        </w:rPr>
      </w:pPr>
      <w:bookmarkStart w:id="5" w:name="_Toc209427139"/>
      <w:r w:rsidRPr="00CC2A02">
        <w:rPr>
          <w:b/>
          <w:bCs/>
          <w:color w:val="000000" w:themeColor="text1"/>
          <w:u w:val="single"/>
          <w:lang w:val="el-GR"/>
        </w:rPr>
        <w:lastRenderedPageBreak/>
        <w:t>ΒΑΣΙΚΑ ΣΥΜΠΕΡΑΣΜΑΤΑ</w:t>
      </w:r>
      <w:bookmarkEnd w:id="5"/>
    </w:p>
    <w:tbl>
      <w:tblPr>
        <w:tblStyle w:val="af"/>
        <w:tblW w:w="0" w:type="auto"/>
        <w:shd w:val="clear" w:color="auto" w:fill="EBF1DE"/>
        <w:tblLook w:val="04A0" w:firstRow="1" w:lastRow="0" w:firstColumn="1" w:lastColumn="0" w:noHBand="0" w:noVBand="1"/>
      </w:tblPr>
      <w:tblGrid>
        <w:gridCol w:w="8352"/>
      </w:tblGrid>
      <w:tr w:rsidR="00B44236" w:rsidRPr="00A35D6D" w14:paraId="7CFABFE1" w14:textId="77777777" w:rsidTr="00342280">
        <w:tc>
          <w:tcPr>
            <w:tcW w:w="8777" w:type="dxa"/>
            <w:shd w:val="clear" w:color="auto" w:fill="EBF1DE"/>
          </w:tcPr>
          <w:p w14:paraId="093D6653" w14:textId="420DDDEC" w:rsidR="00840B13" w:rsidRPr="00840B13" w:rsidRDefault="00C97981" w:rsidP="00D16A61">
            <w:pPr>
              <w:jc w:val="both"/>
              <w:rPr>
                <w:rFonts w:asciiTheme="majorHAnsi" w:hAnsiTheme="majorHAnsi"/>
                <w:lang w:val="el-GR"/>
                <w14:shadow w14:blurRad="63500" w14:dist="50800" w14:dir="16200000" w14:sx="0" w14:sy="0" w14:kx="0" w14:ky="0" w14:algn="none">
                  <w14:srgbClr w14:val="000000">
                    <w14:alpha w14:val="50000"/>
                  </w14:srgbClr>
                </w14:shadow>
              </w:rPr>
            </w:pPr>
            <w:bookmarkStart w:id="6" w:name="_Hlk185526246"/>
            <w:r w:rsidRPr="00840B13">
              <w:rPr>
                <w:rFonts w:asciiTheme="majorHAnsi" w:hAnsiTheme="majorHAnsi"/>
                <w:lang w:val="el-GR"/>
              </w:rPr>
              <w:t xml:space="preserve">Η διεύρυνση των ανισοτήτων </w:t>
            </w:r>
            <w:r w:rsidR="005403BF" w:rsidRPr="00840B13">
              <w:rPr>
                <w:rFonts w:asciiTheme="majorHAnsi" w:hAnsiTheme="majorHAnsi"/>
                <w:lang w:val="el-GR"/>
              </w:rPr>
              <w:t>σε</w:t>
            </w:r>
            <w:r w:rsidRPr="00840B13">
              <w:rPr>
                <w:rFonts w:asciiTheme="majorHAnsi" w:hAnsiTheme="majorHAnsi"/>
                <w:lang w:val="el-GR"/>
              </w:rPr>
              <w:t xml:space="preserve"> βάρος του πληθυσμού με αναπηρία και η επιμονή </w:t>
            </w:r>
            <w:r w:rsidR="00342280">
              <w:rPr>
                <w:rFonts w:asciiTheme="majorHAnsi" w:hAnsiTheme="majorHAnsi"/>
                <w:lang w:val="el-GR"/>
              </w:rPr>
              <w:t xml:space="preserve">της </w:t>
            </w:r>
            <w:r w:rsidRPr="00840B13">
              <w:rPr>
                <w:rFonts w:asciiTheme="majorHAnsi" w:hAnsiTheme="majorHAnsi"/>
                <w:lang w:val="el-GR"/>
              </w:rPr>
              <w:t>φτώχειας και του κοινωνικού αποκλεισμού</w:t>
            </w:r>
            <w:r w:rsidR="00A67F24">
              <w:rPr>
                <w:rFonts w:asciiTheme="majorHAnsi" w:hAnsiTheme="majorHAnsi"/>
                <w:lang w:val="el-GR"/>
              </w:rPr>
              <w:t xml:space="preserve"> </w:t>
            </w:r>
            <w:r w:rsidRPr="00840B13">
              <w:rPr>
                <w:rFonts w:asciiTheme="majorHAnsi" w:hAnsiTheme="majorHAnsi"/>
                <w:lang w:val="el-GR"/>
              </w:rPr>
              <w:t>παρά τη σταδιακή βελτίωση σειράς κοινωνικοοικονομικών δεικτών</w:t>
            </w:r>
            <w:r w:rsidR="00397933">
              <w:rPr>
                <w:rFonts w:asciiTheme="majorHAnsi" w:hAnsiTheme="majorHAnsi"/>
                <w:lang w:val="el-GR"/>
              </w:rPr>
              <w:t xml:space="preserve"> στη χώρα</w:t>
            </w:r>
            <w:r w:rsidRPr="00840B13">
              <w:rPr>
                <w:rFonts w:asciiTheme="majorHAnsi" w:hAnsiTheme="majorHAnsi"/>
                <w:lang w:val="el-GR"/>
              </w:rPr>
              <w:t>, επιβεβαιώνει τον πολυδιάστατο και δομικό χαρακτήρα του φαινομένου της φτώχειας στα άτομα με αναπηρία</w:t>
            </w:r>
            <w:r w:rsidR="00A67F24">
              <w:rPr>
                <w:rFonts w:asciiTheme="majorHAnsi" w:hAnsiTheme="majorHAnsi"/>
                <w:lang w:val="el-GR"/>
              </w:rPr>
              <w:t xml:space="preserve">. Οι μισοί </w:t>
            </w:r>
            <w:r w:rsidR="00C36AF5" w:rsidRPr="00840B13">
              <w:rPr>
                <w:rFonts w:asciiTheme="majorHAnsi" w:hAnsiTheme="majorHAnsi"/>
                <w:lang w:val="el-GR"/>
              </w:rPr>
              <w:t xml:space="preserve">πολίτες με αναπηρία </w:t>
            </w:r>
            <w:r w:rsidR="00AB2B16" w:rsidRPr="00840B13">
              <w:rPr>
                <w:rFonts w:asciiTheme="majorHAnsi" w:hAnsiTheme="majorHAnsi"/>
                <w:lang w:val="el-GR"/>
              </w:rPr>
              <w:t>στις παραγωγικές ηλικίες</w:t>
            </w:r>
            <w:r w:rsidR="00C36AF5" w:rsidRPr="00840B13">
              <w:rPr>
                <w:rFonts w:asciiTheme="majorHAnsi" w:hAnsiTheme="majorHAnsi"/>
                <w:lang w:val="el-GR"/>
              </w:rPr>
              <w:t xml:space="preserve"> βρίσκονται στο φάσμα της φτώχειας και του κοινωνικού αποκλεισμού. </w:t>
            </w:r>
            <w:r w:rsidR="00AB2B16" w:rsidRPr="00840B13">
              <w:rPr>
                <w:rFonts w:asciiTheme="majorHAnsi" w:hAnsiTheme="majorHAnsi"/>
                <w:lang w:val="el-GR"/>
              </w:rPr>
              <w:t>Ε</w:t>
            </w:r>
            <w:r w:rsidRPr="00840B13">
              <w:rPr>
                <w:rFonts w:asciiTheme="majorHAnsi" w:hAnsiTheme="majorHAnsi"/>
                <w:lang w:val="el-GR"/>
              </w:rPr>
              <w:t xml:space="preserve">ξίσου </w:t>
            </w:r>
            <w:r w:rsidR="00AB2B16" w:rsidRPr="00840B13">
              <w:rPr>
                <w:rFonts w:asciiTheme="majorHAnsi" w:hAnsiTheme="majorHAnsi"/>
                <w:lang w:val="el-GR"/>
              </w:rPr>
              <w:t>ζοφερή</w:t>
            </w:r>
            <w:r w:rsidRPr="00840B13">
              <w:rPr>
                <w:rFonts w:asciiTheme="majorHAnsi" w:hAnsiTheme="majorHAnsi"/>
                <w:lang w:val="el-GR"/>
              </w:rPr>
              <w:t xml:space="preserve"> </w:t>
            </w:r>
            <w:r w:rsidR="00342280">
              <w:rPr>
                <w:rFonts w:asciiTheme="majorHAnsi" w:hAnsiTheme="majorHAnsi"/>
                <w:lang w:val="el-GR"/>
              </w:rPr>
              <w:t xml:space="preserve">είναι η </w:t>
            </w:r>
            <w:r w:rsidRPr="00840B13">
              <w:rPr>
                <w:rFonts w:asciiTheme="majorHAnsi" w:hAnsiTheme="majorHAnsi"/>
                <w:lang w:val="el-GR"/>
              </w:rPr>
              <w:t>εικόνα</w:t>
            </w:r>
            <w:r w:rsidR="00093E9D" w:rsidRPr="00840B13">
              <w:rPr>
                <w:rFonts w:asciiTheme="majorHAnsi" w:hAnsiTheme="majorHAnsi"/>
                <w:lang w:val="el-GR"/>
              </w:rPr>
              <w:t xml:space="preserve"> </w:t>
            </w:r>
            <w:r w:rsidR="00AB2B16" w:rsidRPr="00840B13">
              <w:rPr>
                <w:rFonts w:asciiTheme="majorHAnsi" w:hAnsiTheme="majorHAnsi"/>
                <w:lang w:val="el-GR"/>
              </w:rPr>
              <w:t xml:space="preserve">και </w:t>
            </w:r>
            <w:r w:rsidRPr="00840B13">
              <w:rPr>
                <w:rFonts w:asciiTheme="majorHAnsi" w:hAnsiTheme="majorHAnsi"/>
                <w:lang w:val="el-GR"/>
              </w:rPr>
              <w:t xml:space="preserve">για τα άτομα με αναπηρία 65 ετών και άνω, </w:t>
            </w:r>
            <w:r w:rsidR="00987A6C" w:rsidRPr="00840B13">
              <w:rPr>
                <w:rFonts w:asciiTheme="majorHAnsi" w:hAnsiTheme="majorHAnsi"/>
                <w:lang w:val="el-GR"/>
              </w:rPr>
              <w:t xml:space="preserve">με τις </w:t>
            </w:r>
            <w:r w:rsidRPr="00840B13">
              <w:rPr>
                <w:rFonts w:asciiTheme="majorHAnsi" w:hAnsiTheme="majorHAnsi"/>
                <w:lang w:val="el-GR"/>
              </w:rPr>
              <w:t xml:space="preserve">συνεχείς περικοπές στις συντάξεις </w:t>
            </w:r>
            <w:r w:rsidR="00987A6C" w:rsidRPr="00840B13">
              <w:rPr>
                <w:rFonts w:asciiTheme="majorHAnsi" w:hAnsiTheme="majorHAnsi"/>
                <w:lang w:val="el-GR"/>
              </w:rPr>
              <w:t xml:space="preserve">των προηγούμενων ετών </w:t>
            </w:r>
            <w:r w:rsidRPr="00840B13">
              <w:rPr>
                <w:rFonts w:asciiTheme="majorHAnsi" w:hAnsiTheme="majorHAnsi"/>
                <w:lang w:val="el-GR"/>
              </w:rPr>
              <w:t xml:space="preserve">και </w:t>
            </w:r>
            <w:r w:rsidR="00987A6C" w:rsidRPr="00840B13">
              <w:rPr>
                <w:rFonts w:asciiTheme="majorHAnsi" w:hAnsiTheme="majorHAnsi"/>
                <w:lang w:val="el-GR"/>
              </w:rPr>
              <w:t>την</w:t>
            </w:r>
            <w:r w:rsidRPr="00840B13">
              <w:rPr>
                <w:rFonts w:asciiTheme="majorHAnsi" w:hAnsiTheme="majorHAnsi"/>
                <w:lang w:val="el-GR"/>
              </w:rPr>
              <w:t xml:space="preserve"> κάθετη </w:t>
            </w:r>
            <w:r w:rsidR="00F8582D" w:rsidRPr="00840B13">
              <w:rPr>
                <w:rFonts w:asciiTheme="majorHAnsi" w:hAnsiTheme="majorHAnsi"/>
                <w:lang w:val="el-GR"/>
              </w:rPr>
              <w:t>αύξηση του κόστους διαβίωσης</w:t>
            </w:r>
            <w:r w:rsidRPr="00840B13">
              <w:rPr>
                <w:rFonts w:asciiTheme="majorHAnsi" w:hAnsiTheme="majorHAnsi"/>
                <w:lang w:val="el-GR"/>
              </w:rPr>
              <w:t xml:space="preserve">, </w:t>
            </w:r>
            <w:r w:rsidR="00987A6C" w:rsidRPr="00840B13">
              <w:rPr>
                <w:rFonts w:asciiTheme="majorHAnsi" w:hAnsiTheme="majorHAnsi"/>
                <w:lang w:val="el-GR"/>
              </w:rPr>
              <w:t>να θέτουν</w:t>
            </w:r>
            <w:r w:rsidRPr="00840B13">
              <w:rPr>
                <w:rFonts w:asciiTheme="majorHAnsi" w:hAnsiTheme="majorHAnsi"/>
                <w:lang w:val="el-GR"/>
              </w:rPr>
              <w:t xml:space="preserve"> πλέον και τους ηλικιωμένους και συνταξιούχους με αναπηρία </w:t>
            </w:r>
            <w:r w:rsidR="00F8582D" w:rsidRPr="00840B13">
              <w:rPr>
                <w:rFonts w:asciiTheme="majorHAnsi" w:hAnsiTheme="majorHAnsi"/>
                <w:lang w:val="el-GR"/>
              </w:rPr>
              <w:t>σε</w:t>
            </w:r>
            <w:r w:rsidRPr="00840B13">
              <w:rPr>
                <w:rFonts w:asciiTheme="majorHAnsi" w:hAnsiTheme="majorHAnsi"/>
                <w:lang w:val="el-GR"/>
              </w:rPr>
              <w:t xml:space="preserve"> κίνδυνο εξαθλίωσης</w:t>
            </w:r>
            <w:r w:rsidR="00F8582D" w:rsidRPr="00840B13">
              <w:rPr>
                <w:rFonts w:asciiTheme="majorHAnsi" w:hAnsiTheme="majorHAnsi"/>
                <w:lang w:val="el-GR"/>
              </w:rPr>
              <w:t xml:space="preserve">. </w:t>
            </w:r>
            <w:r w:rsidR="00840B13">
              <w:rPr>
                <w:rFonts w:asciiTheme="majorHAnsi" w:hAnsiTheme="majorHAnsi"/>
                <w:lang w:val="el-GR"/>
              </w:rPr>
              <w:t>Τ</w:t>
            </w:r>
            <w:r w:rsidR="00840B13" w:rsidRPr="00840B13">
              <w:rPr>
                <w:rFonts w:asciiTheme="majorHAnsi" w:hAnsiTheme="majorHAnsi"/>
                <w:lang w:val="el-GR"/>
                <w14:shadow w14:blurRad="63500" w14:dist="50800" w14:dir="16200000" w14:sx="0" w14:sy="0" w14:kx="0" w14:ky="0" w14:algn="none">
                  <w14:srgbClr w14:val="000000">
                    <w14:alpha w14:val="50000"/>
                  </w14:srgbClr>
                </w14:shadow>
              </w:rPr>
              <w:t xml:space="preserve">ο </w:t>
            </w:r>
            <w:r w:rsidR="00840B13">
              <w:rPr>
                <w:rFonts w:asciiTheme="majorHAnsi" w:hAnsiTheme="majorHAnsi"/>
                <w:lang w:val="el-GR"/>
                <w14:shadow w14:blurRad="63500" w14:dist="50800" w14:dir="16200000" w14:sx="0" w14:sy="0" w14:kx="0" w14:ky="0" w14:algn="none">
                  <w14:srgbClr w14:val="000000">
                    <w14:alpha w14:val="50000"/>
                  </w14:srgbClr>
                </w14:shadow>
              </w:rPr>
              <w:t xml:space="preserve">υπέρογκο κόστος στέγασης, το </w:t>
            </w:r>
            <w:r w:rsidR="00840B13" w:rsidRPr="00840B13">
              <w:rPr>
                <w:rFonts w:asciiTheme="majorHAnsi" w:hAnsiTheme="majorHAnsi"/>
                <w:lang w:val="el-GR"/>
                <w14:shadow w14:blurRad="63500" w14:dist="50800" w14:dir="16200000" w14:sx="0" w14:sy="0" w14:kx="0" w14:ky="0" w14:algn="none">
                  <w14:srgbClr w14:val="000000">
                    <w14:alpha w14:val="50000"/>
                  </w14:srgbClr>
                </w14:shadow>
              </w:rPr>
              <w:t>δραματικό κύμα ακρίβειας στα προϊόντα, την ενέργεια, τα καύσιμα κ.</w:t>
            </w:r>
            <w:r w:rsidR="00481783">
              <w:rPr>
                <w:rFonts w:asciiTheme="majorHAnsi" w:hAnsiTheme="majorHAnsi"/>
                <w:lang w:val="el-GR"/>
                <w14:shadow w14:blurRad="63500" w14:dist="50800" w14:dir="16200000" w14:sx="0" w14:sy="0" w14:kx="0" w14:ky="0" w14:algn="none">
                  <w14:srgbClr w14:val="000000">
                    <w14:alpha w14:val="50000"/>
                  </w14:srgbClr>
                </w14:shadow>
              </w:rPr>
              <w:t>ά</w:t>
            </w:r>
            <w:r w:rsidR="00840B13" w:rsidRPr="00840B13">
              <w:rPr>
                <w:rFonts w:asciiTheme="majorHAnsi" w:hAnsiTheme="majorHAnsi"/>
                <w:lang w:val="el-GR"/>
                <w14:shadow w14:blurRad="63500" w14:dist="50800" w14:dir="16200000" w14:sx="0" w14:sy="0" w14:kx="0" w14:ky="0" w14:algn="none">
                  <w14:srgbClr w14:val="000000">
                    <w14:alpha w14:val="50000"/>
                  </w14:srgbClr>
                </w14:shadow>
              </w:rPr>
              <w:t>., και το δυσβάστακτο πρόσθετο κόστος που απαιτείται για την κάλυψη των αναγκών που πηγάζουν από την αναπηρία/ χρόνια/ σπάνια πάθησή τους,</w:t>
            </w:r>
            <w:r w:rsidR="00840B13">
              <w:rPr>
                <w:rFonts w:asciiTheme="majorHAnsi" w:hAnsiTheme="majorHAnsi"/>
                <w:lang w:val="el-GR"/>
                <w14:shadow w14:blurRad="63500" w14:dist="50800" w14:dir="16200000" w14:sx="0" w14:sy="0" w14:kx="0" w14:ky="0" w14:algn="none">
                  <w14:srgbClr w14:val="000000">
                    <w14:alpha w14:val="50000"/>
                  </w14:srgbClr>
                </w14:shadow>
              </w:rPr>
              <w:t xml:space="preserve"> καθιστά </w:t>
            </w:r>
            <w:r w:rsidR="00840B13" w:rsidRPr="00840B13">
              <w:rPr>
                <w:rFonts w:asciiTheme="majorHAnsi" w:hAnsiTheme="majorHAnsi"/>
                <w:lang w:val="el-GR"/>
                <w14:shadow w14:blurRad="63500" w14:dist="50800" w14:dir="16200000" w14:sx="0" w14:sy="0" w14:kx="0" w14:ky="0" w14:algn="none">
                  <w14:srgbClr w14:val="000000">
                    <w14:alpha w14:val="50000"/>
                  </w14:srgbClr>
                </w14:shadow>
              </w:rPr>
              <w:t>αδύνατη την κάλυψη βασικών καθημερινών αναγκών</w:t>
            </w:r>
            <w:r w:rsidR="00342280">
              <w:rPr>
                <w:rFonts w:asciiTheme="majorHAnsi" w:hAnsiTheme="majorHAnsi"/>
                <w:lang w:val="el-GR"/>
                <w14:shadow w14:blurRad="63500" w14:dist="50800" w14:dir="16200000" w14:sx="0" w14:sy="0" w14:kx="0" w14:ky="0" w14:algn="none">
                  <w14:srgbClr w14:val="000000">
                    <w14:alpha w14:val="50000"/>
                  </w14:srgbClr>
                </w14:shadow>
              </w:rPr>
              <w:t xml:space="preserve"> διαβίωσης</w:t>
            </w:r>
            <w:r w:rsidR="00C740F5">
              <w:rPr>
                <w:rFonts w:asciiTheme="majorHAnsi" w:hAnsiTheme="majorHAnsi"/>
                <w:lang w:val="el-GR"/>
                <w14:shadow w14:blurRad="63500" w14:dist="50800" w14:dir="16200000" w14:sx="0" w14:sy="0" w14:kx="0" w14:ky="0" w14:algn="none">
                  <w14:srgbClr w14:val="000000">
                    <w14:alpha w14:val="50000"/>
                  </w14:srgbClr>
                </w14:shadow>
              </w:rPr>
              <w:t xml:space="preserve">. Μια μεγάλη μάζα ατόμων με αναπηρία έχουν τεθεί </w:t>
            </w:r>
            <w:r w:rsidR="00840B13" w:rsidRPr="00840B13">
              <w:rPr>
                <w:rFonts w:asciiTheme="majorHAnsi" w:hAnsiTheme="majorHAnsi"/>
                <w:lang w:val="el-GR"/>
                <w14:shadow w14:blurRad="63500" w14:dist="50800" w14:dir="16200000" w14:sx="0" w14:sy="0" w14:kx="0" w14:ky="0" w14:algn="none">
                  <w14:srgbClr w14:val="000000">
                    <w14:alpha w14:val="50000"/>
                  </w14:srgbClr>
                </w14:shadow>
              </w:rPr>
              <w:t xml:space="preserve"> </w:t>
            </w:r>
            <w:r w:rsidR="00840B13">
              <w:rPr>
                <w:rFonts w:asciiTheme="majorHAnsi" w:hAnsiTheme="majorHAnsi"/>
                <w:lang w:val="el-GR"/>
                <w14:shadow w14:blurRad="63500" w14:dist="50800" w14:dir="16200000" w14:sx="0" w14:sy="0" w14:kx="0" w14:ky="0" w14:algn="none">
                  <w14:srgbClr w14:val="000000">
                    <w14:alpha w14:val="50000"/>
                  </w14:srgbClr>
                </w14:shadow>
              </w:rPr>
              <w:t xml:space="preserve">στο κοινωνικό περιθώριο. </w:t>
            </w:r>
          </w:p>
          <w:p w14:paraId="54C9EB93" w14:textId="27342179" w:rsidR="00DC2601" w:rsidRDefault="00987A6C" w:rsidP="00397933">
            <w:pPr>
              <w:shd w:val="clear" w:color="auto" w:fill="EBF1DE"/>
              <w:jc w:val="both"/>
              <w:rPr>
                <w:rFonts w:asciiTheme="majorHAnsi" w:hAnsiTheme="majorHAnsi"/>
                <w:lang w:val="el-GR"/>
              </w:rPr>
            </w:pPr>
            <w:r>
              <w:rPr>
                <w:rFonts w:asciiTheme="majorHAnsi" w:hAnsiTheme="majorHAnsi"/>
                <w:lang w:val="el-GR"/>
              </w:rPr>
              <w:t>Η Ε</w:t>
            </w:r>
            <w:r w:rsidR="00CD1D41">
              <w:rPr>
                <w:rFonts w:asciiTheme="majorHAnsi" w:hAnsiTheme="majorHAnsi"/>
                <w:lang w:val="el-GR"/>
              </w:rPr>
              <w:t>.</w:t>
            </w:r>
            <w:r>
              <w:rPr>
                <w:rFonts w:asciiTheme="majorHAnsi" w:hAnsiTheme="majorHAnsi"/>
                <w:lang w:val="el-GR"/>
              </w:rPr>
              <w:t>Σ</w:t>
            </w:r>
            <w:r w:rsidR="00CD1D41">
              <w:rPr>
                <w:rFonts w:asciiTheme="majorHAnsi" w:hAnsiTheme="majorHAnsi"/>
                <w:lang w:val="el-GR"/>
              </w:rPr>
              <w:t>.</w:t>
            </w:r>
            <w:r>
              <w:rPr>
                <w:rFonts w:asciiTheme="majorHAnsi" w:hAnsiTheme="majorHAnsi"/>
                <w:lang w:val="el-GR"/>
              </w:rPr>
              <w:t>Α</w:t>
            </w:r>
            <w:r w:rsidR="00CD1D41">
              <w:rPr>
                <w:rFonts w:asciiTheme="majorHAnsi" w:hAnsiTheme="majorHAnsi"/>
                <w:lang w:val="el-GR"/>
              </w:rPr>
              <w:t>.</w:t>
            </w:r>
            <w:r>
              <w:rPr>
                <w:rFonts w:asciiTheme="majorHAnsi" w:hAnsiTheme="majorHAnsi"/>
                <w:lang w:val="el-GR"/>
              </w:rPr>
              <w:t>μεΑ</w:t>
            </w:r>
            <w:r w:rsidR="00CD1D41">
              <w:rPr>
                <w:rFonts w:asciiTheme="majorHAnsi" w:hAnsiTheme="majorHAnsi"/>
                <w:lang w:val="el-GR"/>
              </w:rPr>
              <w:t>.</w:t>
            </w:r>
            <w:r>
              <w:rPr>
                <w:rFonts w:asciiTheme="majorHAnsi" w:hAnsiTheme="majorHAnsi"/>
                <w:lang w:val="el-GR"/>
              </w:rPr>
              <w:t xml:space="preserve"> διεκδικεί να </w:t>
            </w:r>
            <w:r w:rsidRPr="00987A6C">
              <w:rPr>
                <w:rFonts w:asciiTheme="majorHAnsi" w:hAnsiTheme="majorHAnsi"/>
                <w:lang w:val="el-GR"/>
              </w:rPr>
              <w:t xml:space="preserve">υπάρξει ολοκληρωμένη </w:t>
            </w:r>
            <w:r w:rsidR="00342280">
              <w:rPr>
                <w:rFonts w:asciiTheme="majorHAnsi" w:hAnsiTheme="majorHAnsi"/>
                <w:lang w:val="el-GR"/>
              </w:rPr>
              <w:t xml:space="preserve">μέριμνα και </w:t>
            </w:r>
            <w:r w:rsidRPr="00987A6C">
              <w:rPr>
                <w:rFonts w:asciiTheme="majorHAnsi" w:hAnsiTheme="majorHAnsi"/>
                <w:lang w:val="el-GR"/>
              </w:rPr>
              <w:t xml:space="preserve">στήριξη των ατόμων με αναπηρία, χρόνιες ή/και σπάνιες παθήσεις και των οικογενειών τους, μέσω ενός πλαισίου συνδυαστικών μέτρων, το οποίο θα έχει συνέχεια σε βάθος χρόνου.  </w:t>
            </w:r>
            <w:r w:rsidR="00397933">
              <w:rPr>
                <w:rFonts w:asciiTheme="majorHAnsi" w:hAnsiTheme="majorHAnsi"/>
                <w:lang w:val="el-GR"/>
              </w:rPr>
              <w:t xml:space="preserve">Σήμερα </w:t>
            </w:r>
            <w:r w:rsidR="00397933" w:rsidRPr="00397933">
              <w:rPr>
                <w:rFonts w:asciiTheme="majorHAnsi" w:hAnsiTheme="majorHAnsi"/>
                <w:lang w:val="el-GR"/>
              </w:rPr>
              <w:t>είναι απολύτως αναγκαία η λήψη μέτρων για την άμεση ενίσχυση του εισοδήματος των ατόμων με αναπηρία</w:t>
            </w:r>
            <w:r w:rsidR="00397933">
              <w:rPr>
                <w:rFonts w:asciiTheme="majorHAnsi" w:hAnsiTheme="majorHAnsi"/>
                <w:lang w:val="el-GR"/>
              </w:rPr>
              <w:t xml:space="preserve">, </w:t>
            </w:r>
            <w:r w:rsidR="00397933" w:rsidRPr="00397933">
              <w:rPr>
                <w:rFonts w:asciiTheme="majorHAnsi" w:hAnsiTheme="majorHAnsi"/>
                <w:lang w:val="el-GR"/>
              </w:rPr>
              <w:t xml:space="preserve"> χρόνιες ή/και σπάνιες παθήσεις</w:t>
            </w:r>
            <w:r w:rsidR="00DC2601">
              <w:rPr>
                <w:rFonts w:asciiTheme="majorHAnsi" w:hAnsiTheme="majorHAnsi"/>
                <w:lang w:val="el-GR"/>
              </w:rPr>
              <w:t xml:space="preserve">, </w:t>
            </w:r>
            <w:r w:rsidR="00397933" w:rsidRPr="00397933">
              <w:rPr>
                <w:rFonts w:asciiTheme="majorHAnsi" w:hAnsiTheme="majorHAnsi"/>
                <w:lang w:val="el-GR"/>
              </w:rPr>
              <w:t xml:space="preserve"> ώστε να προστατευτούν από την </w:t>
            </w:r>
            <w:r w:rsidR="00397933">
              <w:rPr>
                <w:rFonts w:asciiTheme="majorHAnsi" w:hAnsiTheme="majorHAnsi"/>
                <w:lang w:val="el-GR"/>
              </w:rPr>
              <w:t>περιθωριοποίηση</w:t>
            </w:r>
            <w:r w:rsidR="00397933" w:rsidRPr="00397933">
              <w:rPr>
                <w:rFonts w:asciiTheme="majorHAnsi" w:hAnsiTheme="majorHAnsi"/>
                <w:lang w:val="el-GR"/>
              </w:rPr>
              <w:t>. Η αύξηση των αναπηρικών επιδομάτων</w:t>
            </w:r>
            <w:r w:rsidR="00397933">
              <w:rPr>
                <w:rFonts w:asciiTheme="majorHAnsi" w:hAnsiTheme="majorHAnsi"/>
                <w:lang w:val="el-GR"/>
              </w:rPr>
              <w:t xml:space="preserve"> και των συντάξεων και η </w:t>
            </w:r>
            <w:r w:rsidR="00397933" w:rsidRPr="00397933">
              <w:rPr>
                <w:rFonts w:asciiTheme="majorHAnsi" w:hAnsiTheme="majorHAnsi"/>
                <w:lang w:val="el-GR"/>
              </w:rPr>
              <w:t xml:space="preserve">κατάργηση της άδικης διακοπής του επιδόματος αναπηρίας όταν το άτομο με αναπηρία καταφέρει να εργαστεί, αποτελούν </w:t>
            </w:r>
            <w:r w:rsidR="00397933">
              <w:rPr>
                <w:rFonts w:asciiTheme="majorHAnsi" w:hAnsiTheme="majorHAnsi"/>
                <w:lang w:val="el-GR"/>
              </w:rPr>
              <w:t>βασικές διεκδικήσεις της Ε</w:t>
            </w:r>
            <w:r w:rsidR="004A1520">
              <w:rPr>
                <w:rFonts w:asciiTheme="majorHAnsi" w:hAnsiTheme="majorHAnsi"/>
                <w:lang w:val="el-GR"/>
              </w:rPr>
              <w:t>.</w:t>
            </w:r>
            <w:r w:rsidR="00397933">
              <w:rPr>
                <w:rFonts w:asciiTheme="majorHAnsi" w:hAnsiTheme="majorHAnsi"/>
                <w:lang w:val="el-GR"/>
              </w:rPr>
              <w:t>Σ</w:t>
            </w:r>
            <w:r w:rsidR="004A1520">
              <w:rPr>
                <w:rFonts w:asciiTheme="majorHAnsi" w:hAnsiTheme="majorHAnsi"/>
                <w:lang w:val="el-GR"/>
              </w:rPr>
              <w:t>.</w:t>
            </w:r>
            <w:r w:rsidR="00397933">
              <w:rPr>
                <w:rFonts w:asciiTheme="majorHAnsi" w:hAnsiTheme="majorHAnsi"/>
                <w:lang w:val="el-GR"/>
              </w:rPr>
              <w:t>Α</w:t>
            </w:r>
            <w:r w:rsidR="004A1520">
              <w:rPr>
                <w:rFonts w:asciiTheme="majorHAnsi" w:hAnsiTheme="majorHAnsi"/>
                <w:lang w:val="el-GR"/>
              </w:rPr>
              <w:t>.</w:t>
            </w:r>
            <w:r w:rsidR="00397933">
              <w:rPr>
                <w:rFonts w:asciiTheme="majorHAnsi" w:hAnsiTheme="majorHAnsi"/>
                <w:lang w:val="el-GR"/>
              </w:rPr>
              <w:t>μεΑ</w:t>
            </w:r>
            <w:r w:rsidR="004A1520">
              <w:rPr>
                <w:rFonts w:asciiTheme="majorHAnsi" w:hAnsiTheme="majorHAnsi"/>
                <w:lang w:val="el-GR"/>
              </w:rPr>
              <w:t>.</w:t>
            </w:r>
            <w:r w:rsidR="00397933">
              <w:rPr>
                <w:rFonts w:asciiTheme="majorHAnsi" w:hAnsiTheme="majorHAnsi"/>
                <w:lang w:val="el-GR"/>
              </w:rPr>
              <w:t xml:space="preserve"> </w:t>
            </w:r>
            <w:r w:rsidR="00397933" w:rsidRPr="00397933">
              <w:rPr>
                <w:rFonts w:asciiTheme="majorHAnsi" w:hAnsiTheme="majorHAnsi"/>
                <w:lang w:val="el-GR"/>
              </w:rPr>
              <w:t>σε αυτή την κατεύθυνση</w:t>
            </w:r>
            <w:r w:rsidR="00397933">
              <w:rPr>
                <w:rFonts w:asciiTheme="majorHAnsi" w:hAnsiTheme="majorHAnsi"/>
                <w:lang w:val="el-GR"/>
              </w:rPr>
              <w:t xml:space="preserve">. </w:t>
            </w:r>
          </w:p>
          <w:p w14:paraId="2B52812A" w14:textId="0B17E64F" w:rsidR="00DC2601" w:rsidRDefault="00397933" w:rsidP="00397933">
            <w:pPr>
              <w:shd w:val="clear" w:color="auto" w:fill="EBF1DE"/>
              <w:jc w:val="both"/>
              <w:rPr>
                <w:rFonts w:asciiTheme="majorHAnsi" w:hAnsiTheme="majorHAnsi"/>
                <w:lang w:val="el-GR"/>
              </w:rPr>
            </w:pPr>
            <w:r>
              <w:rPr>
                <w:rFonts w:asciiTheme="majorHAnsi" w:hAnsiTheme="majorHAnsi"/>
                <w:lang w:val="el-GR"/>
              </w:rPr>
              <w:t xml:space="preserve">Η </w:t>
            </w:r>
            <w:r w:rsidRPr="00434115">
              <w:rPr>
                <w:rFonts w:asciiTheme="majorHAnsi" w:hAnsiTheme="majorHAnsi"/>
                <w:lang w:val="el-GR"/>
              </w:rPr>
              <w:t xml:space="preserve">προστασία από πλειστηριασμό της πρώτης κατοικίας, η συμπερίληψη των ατόμων με αναπηρία σε κάθε Πρόγραμμα της Στρατηγικής Κοινωνικής Στέγασης </w:t>
            </w:r>
            <w:r w:rsidRPr="00397933">
              <w:rPr>
                <w:rFonts w:asciiTheme="majorHAnsi" w:hAnsiTheme="majorHAnsi"/>
                <w:lang w:val="el-GR"/>
              </w:rPr>
              <w:t xml:space="preserve">με διακριτό τρόπο, όπως ισχύει για τους πολύτεκνους και τους τρίτεκνους, </w:t>
            </w:r>
            <w:r w:rsidR="00434115">
              <w:rPr>
                <w:rFonts w:asciiTheme="majorHAnsi" w:hAnsiTheme="majorHAnsi"/>
                <w:lang w:val="el-GR"/>
              </w:rPr>
              <w:t xml:space="preserve">η φορολογική ελάφρυνση με απαλλαγή από τα τεκμήρια εισοδήματος και η διεύρυνση του μέτρου απαλλαγής από τον ΕΝΦΙΑ για άτομα με αναπηρία 50% και άνω χωρίς εισοδηματικά κριτήρια,  αποτελούν </w:t>
            </w:r>
            <w:r w:rsidR="00DC2601">
              <w:rPr>
                <w:rFonts w:asciiTheme="majorHAnsi" w:hAnsiTheme="majorHAnsi"/>
                <w:lang w:val="el-GR"/>
              </w:rPr>
              <w:t xml:space="preserve">επίσης </w:t>
            </w:r>
            <w:r w:rsidR="00434115">
              <w:rPr>
                <w:rFonts w:asciiTheme="majorHAnsi" w:hAnsiTheme="majorHAnsi"/>
                <w:lang w:val="el-GR"/>
              </w:rPr>
              <w:t>κάποιες από τις τεκμηριωμένες προτάσεις</w:t>
            </w:r>
            <w:r w:rsidR="00DC2601">
              <w:rPr>
                <w:rFonts w:asciiTheme="majorHAnsi" w:hAnsiTheme="majorHAnsi"/>
                <w:lang w:val="el-GR"/>
              </w:rPr>
              <w:t>,</w:t>
            </w:r>
            <w:r w:rsidR="00434115">
              <w:rPr>
                <w:rFonts w:asciiTheme="majorHAnsi" w:hAnsiTheme="majorHAnsi"/>
                <w:lang w:val="el-GR"/>
              </w:rPr>
              <w:t xml:space="preserve"> που η Ε</w:t>
            </w:r>
            <w:r w:rsidR="00D14BE1">
              <w:rPr>
                <w:rFonts w:asciiTheme="majorHAnsi" w:hAnsiTheme="majorHAnsi"/>
                <w:lang w:val="el-GR"/>
              </w:rPr>
              <w:t>.</w:t>
            </w:r>
            <w:r w:rsidR="00434115">
              <w:rPr>
                <w:rFonts w:asciiTheme="majorHAnsi" w:hAnsiTheme="majorHAnsi"/>
                <w:lang w:val="el-GR"/>
              </w:rPr>
              <w:t>Σ</w:t>
            </w:r>
            <w:r w:rsidR="00D14BE1">
              <w:rPr>
                <w:rFonts w:asciiTheme="majorHAnsi" w:hAnsiTheme="majorHAnsi"/>
                <w:lang w:val="el-GR"/>
              </w:rPr>
              <w:t>.</w:t>
            </w:r>
            <w:r w:rsidR="00434115">
              <w:rPr>
                <w:rFonts w:asciiTheme="majorHAnsi" w:hAnsiTheme="majorHAnsi"/>
                <w:lang w:val="el-GR"/>
              </w:rPr>
              <w:t>Α</w:t>
            </w:r>
            <w:r w:rsidR="00D14BE1">
              <w:rPr>
                <w:rFonts w:asciiTheme="majorHAnsi" w:hAnsiTheme="majorHAnsi"/>
                <w:lang w:val="el-GR"/>
              </w:rPr>
              <w:t>.</w:t>
            </w:r>
            <w:r w:rsidR="00434115">
              <w:rPr>
                <w:rFonts w:asciiTheme="majorHAnsi" w:hAnsiTheme="majorHAnsi"/>
                <w:lang w:val="el-GR"/>
              </w:rPr>
              <w:t>μεΑ</w:t>
            </w:r>
            <w:r w:rsidR="00D14BE1">
              <w:rPr>
                <w:rFonts w:asciiTheme="majorHAnsi" w:hAnsiTheme="majorHAnsi"/>
                <w:lang w:val="el-GR"/>
              </w:rPr>
              <w:t>.</w:t>
            </w:r>
            <w:r w:rsidR="00434115">
              <w:rPr>
                <w:rFonts w:asciiTheme="majorHAnsi" w:hAnsiTheme="majorHAnsi"/>
                <w:lang w:val="el-GR"/>
              </w:rPr>
              <w:t xml:space="preserve"> έθεσε υπόψη του Πρωθυπουργού τον Ιούλιο. Παράλληλα, η </w:t>
            </w:r>
            <w:r w:rsidR="00671D3F" w:rsidRPr="00987A6C">
              <w:rPr>
                <w:rFonts w:asciiTheme="majorHAnsi" w:hAnsiTheme="majorHAnsi"/>
                <w:lang w:val="el-GR"/>
              </w:rPr>
              <w:t xml:space="preserve"> α</w:t>
            </w:r>
            <w:r w:rsidR="00C36AF5" w:rsidRPr="00987A6C">
              <w:rPr>
                <w:rFonts w:asciiTheme="majorHAnsi" w:hAnsiTheme="majorHAnsi"/>
                <w:lang w:val="el-GR"/>
              </w:rPr>
              <w:t>ύξηση της συμμετοχής των ατόμων με αναπηρία, με χρόνιες ή/και σπάνιες παθήσεις στο εργατικό δυναμικό της χώρας</w:t>
            </w:r>
            <w:r w:rsidR="00342280">
              <w:rPr>
                <w:rFonts w:asciiTheme="majorHAnsi" w:hAnsiTheme="majorHAnsi"/>
                <w:lang w:val="el-GR"/>
              </w:rPr>
              <w:t xml:space="preserve">, </w:t>
            </w:r>
            <w:r w:rsidR="00671D3F" w:rsidRPr="00987A6C">
              <w:rPr>
                <w:rFonts w:asciiTheme="majorHAnsi" w:hAnsiTheme="majorHAnsi"/>
                <w:lang w:val="el-GR"/>
              </w:rPr>
              <w:t>πρέπει να αποτελέσει βασική προτεραιότητα</w:t>
            </w:r>
            <w:r w:rsidR="00DA0BBC" w:rsidRPr="00987A6C">
              <w:rPr>
                <w:rFonts w:asciiTheme="majorHAnsi" w:hAnsiTheme="majorHAnsi"/>
                <w:lang w:val="el-GR"/>
              </w:rPr>
              <w:t xml:space="preserve"> το επόμενο διάστημα</w:t>
            </w:r>
            <w:r w:rsidR="00671D3F" w:rsidRPr="00987A6C">
              <w:rPr>
                <w:rFonts w:asciiTheme="majorHAnsi" w:hAnsiTheme="majorHAnsi"/>
                <w:lang w:val="el-GR"/>
              </w:rPr>
              <w:t xml:space="preserve">, </w:t>
            </w:r>
            <w:r w:rsidRPr="00397933">
              <w:rPr>
                <w:rFonts w:asciiTheme="majorHAnsi" w:hAnsiTheme="majorHAnsi"/>
                <w:lang w:val="el-GR"/>
              </w:rPr>
              <w:t>μέσω της άρσης των υφιστάμενων εμποδίων και της εφαρμογής θετικών μέτρων δράσης, με τη θέσπιση και εφαρμογή ενός Εθνικού Προγράμματος «Εγγύηση για την απασχόληση και τις δεξιότητες των ατόμων με αναπηρία, χρόνιες ή/και σπάνιες παθήσεις»</w:t>
            </w:r>
            <w:r w:rsidR="00DC2601">
              <w:rPr>
                <w:rFonts w:asciiTheme="majorHAnsi" w:hAnsiTheme="majorHAnsi"/>
                <w:lang w:val="el-GR"/>
              </w:rPr>
              <w:t>.</w:t>
            </w:r>
          </w:p>
          <w:p w14:paraId="033E02B6" w14:textId="575024DC" w:rsidR="009121AB" w:rsidRPr="00434115" w:rsidRDefault="00342280" w:rsidP="00397933">
            <w:pPr>
              <w:shd w:val="clear" w:color="auto" w:fill="EBF1DE"/>
              <w:jc w:val="both"/>
              <w:rPr>
                <w:rFonts w:asciiTheme="majorHAnsi" w:hAnsiTheme="majorHAnsi"/>
                <w:lang w:val="el-GR"/>
              </w:rPr>
            </w:pPr>
            <w:r>
              <w:rPr>
                <w:rFonts w:asciiTheme="majorHAnsi" w:hAnsiTheme="majorHAnsi"/>
                <w:lang w:val="el-GR"/>
              </w:rPr>
              <w:t>Η</w:t>
            </w:r>
            <w:r w:rsidR="00434115">
              <w:rPr>
                <w:rFonts w:asciiTheme="majorHAnsi" w:hAnsiTheme="majorHAnsi"/>
                <w:lang w:val="el-GR"/>
              </w:rPr>
              <w:t xml:space="preserve"> Ε</w:t>
            </w:r>
            <w:r w:rsidR="00D6551E">
              <w:rPr>
                <w:rFonts w:asciiTheme="majorHAnsi" w:hAnsiTheme="majorHAnsi"/>
                <w:lang w:val="el-GR"/>
              </w:rPr>
              <w:t>.</w:t>
            </w:r>
            <w:r w:rsidR="00434115">
              <w:rPr>
                <w:rFonts w:asciiTheme="majorHAnsi" w:hAnsiTheme="majorHAnsi"/>
                <w:lang w:val="el-GR"/>
              </w:rPr>
              <w:t>Σ</w:t>
            </w:r>
            <w:r w:rsidR="00D6551E">
              <w:rPr>
                <w:rFonts w:asciiTheme="majorHAnsi" w:hAnsiTheme="majorHAnsi"/>
                <w:lang w:val="el-GR"/>
              </w:rPr>
              <w:t>.</w:t>
            </w:r>
            <w:r w:rsidR="00434115">
              <w:rPr>
                <w:rFonts w:asciiTheme="majorHAnsi" w:hAnsiTheme="majorHAnsi"/>
                <w:lang w:val="el-GR"/>
              </w:rPr>
              <w:t>Α</w:t>
            </w:r>
            <w:r w:rsidR="00D6551E">
              <w:rPr>
                <w:rFonts w:asciiTheme="majorHAnsi" w:hAnsiTheme="majorHAnsi"/>
                <w:lang w:val="el-GR"/>
              </w:rPr>
              <w:t>.</w:t>
            </w:r>
            <w:r w:rsidR="00434115">
              <w:rPr>
                <w:rFonts w:asciiTheme="majorHAnsi" w:hAnsiTheme="majorHAnsi"/>
                <w:lang w:val="el-GR"/>
              </w:rPr>
              <w:t>μεΑ</w:t>
            </w:r>
            <w:r w:rsidR="00D6551E">
              <w:rPr>
                <w:rFonts w:asciiTheme="majorHAnsi" w:hAnsiTheme="majorHAnsi"/>
                <w:lang w:val="el-GR"/>
              </w:rPr>
              <w:t>.</w:t>
            </w:r>
            <w:r w:rsidR="00434115">
              <w:rPr>
                <w:rFonts w:asciiTheme="majorHAnsi" w:hAnsiTheme="majorHAnsi"/>
                <w:lang w:val="el-GR"/>
              </w:rPr>
              <w:t xml:space="preserve"> διεκδικεί </w:t>
            </w:r>
            <w:r>
              <w:rPr>
                <w:rFonts w:asciiTheme="majorHAnsi" w:hAnsiTheme="majorHAnsi"/>
                <w:lang w:val="el-GR"/>
              </w:rPr>
              <w:t xml:space="preserve">σταθερά </w:t>
            </w:r>
            <w:r w:rsidR="00434115">
              <w:rPr>
                <w:rFonts w:asciiTheme="majorHAnsi" w:hAnsiTheme="majorHAnsi"/>
                <w:lang w:val="el-GR"/>
              </w:rPr>
              <w:t xml:space="preserve">τον σχεδιασμό και την εφαρμογή πολιτικών ενίσχυσης του δημόσιου συστήματος υγείας και θεωρεί </w:t>
            </w:r>
            <w:r>
              <w:rPr>
                <w:rFonts w:asciiTheme="majorHAnsi" w:hAnsiTheme="majorHAnsi"/>
                <w:lang w:val="el-GR"/>
              </w:rPr>
              <w:t>αναγκαία</w:t>
            </w:r>
            <w:r w:rsidR="00434115">
              <w:rPr>
                <w:rFonts w:asciiTheme="majorHAnsi" w:hAnsiTheme="majorHAnsi"/>
                <w:lang w:val="el-GR"/>
              </w:rPr>
              <w:t xml:space="preserve"> τη θ</w:t>
            </w:r>
            <w:r w:rsidR="00434115" w:rsidRPr="00434115">
              <w:rPr>
                <w:rFonts w:asciiTheme="majorHAnsi" w:hAnsiTheme="majorHAnsi"/>
                <w:lang w:val="el-GR"/>
              </w:rPr>
              <w:t>εσμοθέτηση της συμμετοχής εκπροσώπου της Ε.Σ.Α.μεΑ. σε όλους τους Φορείς Σχεδιασμού, Εφαρμογής και Αξιολόγησης πολιτικών για την υγεία</w:t>
            </w:r>
            <w:r w:rsidR="00434115">
              <w:rPr>
                <w:rFonts w:asciiTheme="majorHAnsi" w:hAnsiTheme="majorHAnsi"/>
                <w:lang w:val="el-GR"/>
              </w:rPr>
              <w:t>, ώστε να διασφαλιστεί η ανεμπόδιστη πρόσβαση των ατόμων με αναπηρία σε ποιοτική, ολιστική,  δημόσια φροντίδα υγείας</w:t>
            </w:r>
            <w:r>
              <w:rPr>
                <w:rFonts w:asciiTheme="majorHAnsi" w:hAnsiTheme="majorHAnsi"/>
                <w:lang w:val="el-GR"/>
              </w:rPr>
              <w:t xml:space="preserve"> και αποκατάστασης</w:t>
            </w:r>
            <w:r w:rsidR="00434115">
              <w:rPr>
                <w:rFonts w:asciiTheme="majorHAnsi" w:hAnsiTheme="majorHAnsi"/>
                <w:lang w:val="el-GR"/>
              </w:rPr>
              <w:t xml:space="preserve">. Άμεσα θα πρέπει να υπάρξει </w:t>
            </w:r>
            <w:r w:rsidR="00AB2B16" w:rsidRPr="00434115">
              <w:rPr>
                <w:rFonts w:asciiTheme="majorHAnsi" w:hAnsiTheme="majorHAnsi"/>
                <w:lang w:val="el-GR"/>
              </w:rPr>
              <w:t xml:space="preserve">λήψη μέτρων </w:t>
            </w:r>
            <w:r w:rsidR="00434115">
              <w:rPr>
                <w:rFonts w:asciiTheme="majorHAnsi" w:hAnsiTheme="majorHAnsi"/>
                <w:lang w:val="el-GR"/>
              </w:rPr>
              <w:t xml:space="preserve">για την οικονομική προσβασιμότητα στην υγεία, </w:t>
            </w:r>
            <w:r w:rsidR="00CD7E73" w:rsidRPr="00434115">
              <w:rPr>
                <w:rFonts w:asciiTheme="majorHAnsi" w:hAnsiTheme="majorHAnsi"/>
                <w:lang w:val="el-GR"/>
              </w:rPr>
              <w:t xml:space="preserve">όπως η </w:t>
            </w:r>
            <w:r w:rsidR="009121AB" w:rsidRPr="00434115">
              <w:rPr>
                <w:rFonts w:asciiTheme="majorHAnsi" w:hAnsiTheme="majorHAnsi"/>
                <w:lang w:val="el-GR"/>
              </w:rPr>
              <w:t xml:space="preserve">μείωση του ΦΠΑ στο χαμηλότερο συντελεστή για τα απαραίτητα </w:t>
            </w:r>
            <w:r w:rsidR="00BE54B8" w:rsidRPr="00434115">
              <w:rPr>
                <w:rFonts w:asciiTheme="majorHAnsi" w:hAnsiTheme="majorHAnsi"/>
                <w:lang w:val="el-GR"/>
              </w:rPr>
              <w:t xml:space="preserve">τεχνικά </w:t>
            </w:r>
            <w:r w:rsidR="009121AB" w:rsidRPr="00434115">
              <w:rPr>
                <w:rFonts w:asciiTheme="majorHAnsi" w:hAnsiTheme="majorHAnsi"/>
                <w:lang w:val="el-GR"/>
              </w:rPr>
              <w:t>βοηθήματα</w:t>
            </w:r>
            <w:r w:rsidR="00CD7E73" w:rsidRPr="00434115">
              <w:rPr>
                <w:rFonts w:asciiTheme="majorHAnsi" w:hAnsiTheme="majorHAnsi"/>
                <w:lang w:val="el-GR"/>
              </w:rPr>
              <w:t xml:space="preserve">, </w:t>
            </w:r>
            <w:r w:rsidR="00AB2B16" w:rsidRPr="00434115">
              <w:rPr>
                <w:rFonts w:asciiTheme="majorHAnsi" w:hAnsiTheme="majorHAnsi"/>
                <w:lang w:val="el-GR"/>
              </w:rPr>
              <w:t xml:space="preserve">η </w:t>
            </w:r>
            <w:r w:rsidR="009121AB" w:rsidRPr="00434115">
              <w:rPr>
                <w:rFonts w:asciiTheme="majorHAnsi" w:hAnsiTheme="majorHAnsi"/>
                <w:lang w:val="el-GR"/>
              </w:rPr>
              <w:t xml:space="preserve">επαναφορά του άρθρου 18 του ν. 4172/2013 που προέβλεπε μείωση φόρου από ιατρικές </w:t>
            </w:r>
            <w:r w:rsidR="009121AB" w:rsidRPr="00434115">
              <w:rPr>
                <w:rFonts w:asciiTheme="majorHAnsi" w:hAnsiTheme="majorHAnsi"/>
                <w:lang w:val="el-GR"/>
              </w:rPr>
              <w:lastRenderedPageBreak/>
              <w:t xml:space="preserve">δαπάνες, για τα άτομα με αναπηρία, με χρόνιες ή/και σπάνιες παθήσεις και τις οικογένειές τους, καθώς και </w:t>
            </w:r>
            <w:r w:rsidR="00BE54B8" w:rsidRPr="00434115">
              <w:rPr>
                <w:rFonts w:asciiTheme="majorHAnsi" w:hAnsiTheme="majorHAnsi"/>
                <w:lang w:val="el-GR"/>
              </w:rPr>
              <w:t xml:space="preserve">η </w:t>
            </w:r>
            <w:r w:rsidR="009121AB" w:rsidRPr="00434115">
              <w:rPr>
                <w:rFonts w:asciiTheme="majorHAnsi" w:hAnsiTheme="majorHAnsi"/>
                <w:lang w:val="el-GR"/>
              </w:rPr>
              <w:t>διεύρυνση αυτού</w:t>
            </w:r>
            <w:r w:rsidR="00865BB3">
              <w:rPr>
                <w:rFonts w:asciiTheme="majorHAnsi" w:hAnsiTheme="majorHAnsi"/>
                <w:lang w:val="el-GR"/>
              </w:rPr>
              <w:t xml:space="preserve">. Σήμερα, περισσότερο από ποτέ,  αποτελεί σύγχρονη κοινωνική αναγκαιότητα </w:t>
            </w:r>
            <w:r w:rsidR="00775178" w:rsidRPr="00434115">
              <w:rPr>
                <w:rFonts w:asciiTheme="majorHAnsi" w:hAnsiTheme="majorHAnsi"/>
                <w:lang w:val="el-GR"/>
              </w:rPr>
              <w:t xml:space="preserve">η μακροπρόθεσμη ενίσχυση </w:t>
            </w:r>
            <w:r w:rsidR="00BE54B8" w:rsidRPr="00434115">
              <w:rPr>
                <w:rFonts w:asciiTheme="majorHAnsi" w:hAnsiTheme="majorHAnsi"/>
                <w:lang w:val="el-GR"/>
              </w:rPr>
              <w:t xml:space="preserve">και στήριξη </w:t>
            </w:r>
            <w:r w:rsidR="00775178" w:rsidRPr="00434115">
              <w:rPr>
                <w:rFonts w:asciiTheme="majorHAnsi" w:hAnsiTheme="majorHAnsi"/>
                <w:lang w:val="el-GR"/>
              </w:rPr>
              <w:t xml:space="preserve">του δημόσιου συστήματος υγείας, </w:t>
            </w:r>
            <w:r w:rsidR="00434115">
              <w:rPr>
                <w:rFonts w:asciiTheme="majorHAnsi" w:hAnsiTheme="majorHAnsi"/>
                <w:lang w:val="el-GR"/>
              </w:rPr>
              <w:t xml:space="preserve">με διασφάλιση της καθολικής προσβασιμότητας και αναβάθμιση και στελέχωση </w:t>
            </w:r>
            <w:r w:rsidR="00865BB3">
              <w:rPr>
                <w:rFonts w:asciiTheme="majorHAnsi" w:hAnsiTheme="majorHAnsi"/>
                <w:lang w:val="el-GR"/>
              </w:rPr>
              <w:t xml:space="preserve">όλων </w:t>
            </w:r>
            <w:r w:rsidR="00434115">
              <w:rPr>
                <w:rFonts w:asciiTheme="majorHAnsi" w:hAnsiTheme="majorHAnsi"/>
                <w:lang w:val="el-GR"/>
              </w:rPr>
              <w:t>των δομών</w:t>
            </w:r>
            <w:r>
              <w:rPr>
                <w:rFonts w:asciiTheme="majorHAnsi" w:hAnsiTheme="majorHAnsi"/>
                <w:lang w:val="el-GR"/>
              </w:rPr>
              <w:t xml:space="preserve"> και υπηρεσιών υγείας</w:t>
            </w:r>
            <w:r w:rsidR="00434115">
              <w:rPr>
                <w:rFonts w:asciiTheme="majorHAnsi" w:hAnsiTheme="majorHAnsi"/>
                <w:lang w:val="el-GR"/>
              </w:rPr>
              <w:t xml:space="preserve">. </w:t>
            </w:r>
          </w:p>
        </w:tc>
      </w:tr>
    </w:tbl>
    <w:p w14:paraId="78445789" w14:textId="77777777" w:rsidR="007F7EFE" w:rsidRDefault="007F7EFE" w:rsidP="007F7EFE">
      <w:pPr>
        <w:rPr>
          <w:lang w:val="el-GR"/>
        </w:rPr>
      </w:pPr>
      <w:bookmarkStart w:id="7" w:name="_Toc135310539"/>
      <w:bookmarkEnd w:id="6"/>
    </w:p>
    <w:p w14:paraId="37E0C3B9" w14:textId="77777777" w:rsidR="007F7EFE" w:rsidRDefault="007F7EFE">
      <w:pPr>
        <w:spacing w:after="0" w:line="240" w:lineRule="auto"/>
        <w:rPr>
          <w:rFonts w:asciiTheme="majorHAnsi" w:eastAsiaTheme="majorEastAsia" w:hAnsiTheme="majorHAnsi" w:cstheme="majorBidi"/>
          <w:b/>
          <w:bCs/>
          <w:sz w:val="32"/>
          <w:szCs w:val="32"/>
          <w:u w:val="single"/>
          <w:lang w:val="el-GR"/>
        </w:rPr>
      </w:pPr>
      <w:r>
        <w:rPr>
          <w:b/>
          <w:bCs/>
          <w:u w:val="single"/>
          <w:lang w:val="el-GR"/>
        </w:rPr>
        <w:br w:type="page"/>
      </w:r>
    </w:p>
    <w:p w14:paraId="31DB9516" w14:textId="70DF0C1E" w:rsidR="003677F5" w:rsidRPr="007646CD" w:rsidRDefault="003677F5" w:rsidP="003677F5">
      <w:pPr>
        <w:pStyle w:val="10"/>
        <w:numPr>
          <w:ilvl w:val="0"/>
          <w:numId w:val="0"/>
        </w:numPr>
        <w:spacing w:before="600" w:after="240"/>
        <w:jc w:val="center"/>
        <w:rPr>
          <w:b/>
          <w:bCs/>
          <w:color w:val="auto"/>
          <w:u w:val="single"/>
          <w:lang w:val="el-GR"/>
        </w:rPr>
      </w:pPr>
      <w:bookmarkStart w:id="8" w:name="_Toc209427140"/>
      <w:r w:rsidRPr="007646CD">
        <w:rPr>
          <w:b/>
          <w:bCs/>
          <w:color w:val="auto"/>
          <w:u w:val="single"/>
          <w:lang w:val="el-GR"/>
        </w:rPr>
        <w:lastRenderedPageBreak/>
        <w:t>ΑΝΑΛΥΣΗ ΕΥΡΥΜΑΤΩΝ</w:t>
      </w:r>
      <w:bookmarkEnd w:id="7"/>
      <w:bookmarkEnd w:id="8"/>
    </w:p>
    <w:p w14:paraId="014AAE0A" w14:textId="77777777" w:rsidR="00342280" w:rsidRPr="00342280" w:rsidRDefault="00342280" w:rsidP="00342280">
      <w:pPr>
        <w:pStyle w:val="2"/>
        <w:spacing w:before="360" w:after="480"/>
        <w:ind w:left="578" w:right="-142" w:hanging="578"/>
        <w:jc w:val="left"/>
        <w:rPr>
          <w:rFonts w:cstheme="minorHAnsi"/>
        </w:rPr>
      </w:pPr>
      <w:bookmarkStart w:id="9" w:name="_Toc209427141"/>
      <w:bookmarkStart w:id="10" w:name="_Hlk134902748"/>
      <w:r w:rsidRPr="00342280">
        <w:rPr>
          <w:rFonts w:cstheme="minorHAnsi"/>
        </w:rPr>
        <w:t>Φτώχεια και διεύρυνση ανισότητας</w:t>
      </w:r>
      <w:bookmarkEnd w:id="9"/>
      <w:r w:rsidRPr="00342280">
        <w:rPr>
          <w:rFonts w:cstheme="minorHAnsi"/>
        </w:rPr>
        <w:t xml:space="preserve"> </w:t>
      </w:r>
    </w:p>
    <w:p w14:paraId="184BB700" w14:textId="77777777" w:rsidR="00342280" w:rsidRPr="00342280" w:rsidRDefault="00342280" w:rsidP="00342280">
      <w:pPr>
        <w:pStyle w:val="af3"/>
        <w:spacing w:after="200"/>
        <w:ind w:left="0"/>
        <w:contextualSpacing w:val="0"/>
        <w:jc w:val="both"/>
        <w:rPr>
          <w:sz w:val="24"/>
          <w:szCs w:val="24"/>
          <w:lang w:val="el-GR"/>
        </w:rPr>
      </w:pPr>
      <w:r w:rsidRPr="00342280">
        <w:rPr>
          <w:sz w:val="24"/>
          <w:szCs w:val="24"/>
          <w:lang w:val="el-GR"/>
        </w:rPr>
        <w:t xml:space="preserve">Κατά το διάστημα 2015 έως 2024, παρότι καταγράφεται στη χώρα μια αξιοσημείωτη τάση αποκλιμάκωσης της φτώχειας και του κοινωνικού αποκλεισμού στον πληθυσμό χωρίς αναπηρία, αυτή η τάση δεν ακολουθείται και στον πληθυσμό των ατόμων με αναπηρία. Αυτό το εύρημα αποτυπώνεται στο παρακάτω χαρακτηριστικό γράφημα (Γράφημα 1). </w:t>
      </w:r>
    </w:p>
    <w:p w14:paraId="2BB83A17" w14:textId="0A53F102" w:rsidR="00342280" w:rsidRDefault="00342280" w:rsidP="00342280">
      <w:pPr>
        <w:pStyle w:val="af3"/>
        <w:spacing w:after="200"/>
        <w:ind w:left="0"/>
        <w:contextualSpacing w:val="0"/>
        <w:jc w:val="both"/>
        <w:rPr>
          <w:sz w:val="24"/>
          <w:szCs w:val="24"/>
          <w:lang w:val="el-GR"/>
        </w:rPr>
      </w:pPr>
      <w:r w:rsidRPr="00342280">
        <w:rPr>
          <w:sz w:val="24"/>
          <w:szCs w:val="24"/>
          <w:lang w:val="el-GR"/>
        </w:rPr>
        <w:t>Η επιμονή του φαινομένου της φτώχειας των ατόμων με αναπηρία, γίνεται φανερή στη σωρευτική μεταβολή του δείκτη, ο οποίος</w:t>
      </w:r>
      <w:r w:rsidR="00524B9D">
        <w:rPr>
          <w:sz w:val="24"/>
          <w:szCs w:val="24"/>
          <w:lang w:val="el-GR"/>
        </w:rPr>
        <w:t xml:space="preserve"> </w:t>
      </w:r>
      <w:r w:rsidR="00524B9D" w:rsidRPr="00342280">
        <w:rPr>
          <w:sz w:val="24"/>
          <w:szCs w:val="24"/>
          <w:lang w:val="el-GR"/>
        </w:rPr>
        <w:t>κατά το διάστημα αναφοράς</w:t>
      </w:r>
      <w:r w:rsidR="00524B9D">
        <w:rPr>
          <w:sz w:val="24"/>
          <w:szCs w:val="24"/>
          <w:lang w:val="el-GR"/>
        </w:rPr>
        <w:t xml:space="preserve">, </w:t>
      </w:r>
      <w:r w:rsidR="00524B9D" w:rsidRPr="00342280">
        <w:rPr>
          <w:sz w:val="24"/>
          <w:szCs w:val="24"/>
          <w:lang w:val="el-GR"/>
        </w:rPr>
        <w:t xml:space="preserve"> </w:t>
      </w:r>
      <w:r w:rsidRPr="00342280">
        <w:rPr>
          <w:sz w:val="24"/>
          <w:szCs w:val="24"/>
          <w:lang w:val="el-GR"/>
        </w:rPr>
        <w:t xml:space="preserve">παρότι στα άτομα χωρίς αναπηρία μειώνεται αθροιστικά κατά 7 μονάδες, στα άτομα με αναπηρία (ανεξαρτήτως σοβαρότητας), σημειώνει αύξηση 3 μονάδων. Γίνεται φανερό ότι, αυτές οι αντιφατικές εξελίξεις, εντείνουν το χάσμα και τις ανισότητες σε βάρος των ατόμων με αναπηρία. </w:t>
      </w:r>
    </w:p>
    <w:p w14:paraId="11B49C80" w14:textId="2C767DD2" w:rsidR="00342280" w:rsidRPr="00342280" w:rsidRDefault="00342280"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bookmarkStart w:id="11" w:name="_Toc209426977"/>
      <w:r w:rsidRPr="00342280">
        <w:rPr>
          <w:rFonts w:asciiTheme="majorHAnsi" w:hAnsiTheme="majorHAnsi" w:cstheme="majorHAnsi"/>
          <w:b/>
          <w:bCs/>
          <w:i w:val="0"/>
          <w:iCs w:val="0"/>
          <w:color w:val="487B77" w:themeColor="accent6" w:themeShade="BF"/>
          <w:sz w:val="24"/>
          <w:szCs w:val="24"/>
          <w:lang w:val="el-GR"/>
        </w:rPr>
        <w:t xml:space="preserve">Γράφημα </w:t>
      </w:r>
      <w:r w:rsidRPr="00342280">
        <w:rPr>
          <w:rFonts w:asciiTheme="majorHAnsi" w:hAnsiTheme="majorHAnsi" w:cstheme="majorHAnsi"/>
          <w:b/>
          <w:bCs/>
          <w:i w:val="0"/>
          <w:iCs w:val="0"/>
          <w:color w:val="487B77" w:themeColor="accent6" w:themeShade="BF"/>
          <w:sz w:val="24"/>
          <w:szCs w:val="24"/>
          <w:lang w:val="el-GR"/>
        </w:rPr>
        <w:fldChar w:fldCharType="begin"/>
      </w:r>
      <w:r w:rsidRPr="00342280">
        <w:rPr>
          <w:rFonts w:asciiTheme="majorHAnsi" w:hAnsiTheme="majorHAnsi" w:cstheme="majorHAnsi"/>
          <w:b/>
          <w:bCs/>
          <w:i w:val="0"/>
          <w:iCs w:val="0"/>
          <w:color w:val="487B77" w:themeColor="accent6" w:themeShade="BF"/>
          <w:sz w:val="24"/>
          <w:szCs w:val="24"/>
          <w:lang w:val="el-GR"/>
        </w:rPr>
        <w:instrText xml:space="preserve"> SEQ Γράφημα \* ARABIC </w:instrText>
      </w:r>
      <w:r w:rsidRPr="00342280">
        <w:rPr>
          <w:rFonts w:asciiTheme="majorHAnsi" w:hAnsiTheme="majorHAnsi" w:cstheme="majorHAnsi"/>
          <w:b/>
          <w:bCs/>
          <w:i w:val="0"/>
          <w:iCs w:val="0"/>
          <w:color w:val="487B77" w:themeColor="accent6" w:themeShade="BF"/>
          <w:sz w:val="24"/>
          <w:szCs w:val="24"/>
          <w:lang w:val="el-GR"/>
        </w:rPr>
        <w:fldChar w:fldCharType="separate"/>
      </w:r>
      <w:r w:rsidRPr="00342280">
        <w:rPr>
          <w:rFonts w:asciiTheme="majorHAnsi" w:hAnsiTheme="majorHAnsi" w:cstheme="majorHAnsi"/>
          <w:b/>
          <w:bCs/>
          <w:i w:val="0"/>
          <w:iCs w:val="0"/>
          <w:color w:val="487B77" w:themeColor="accent6" w:themeShade="BF"/>
          <w:sz w:val="24"/>
          <w:szCs w:val="24"/>
          <w:lang w:val="el-GR"/>
        </w:rPr>
        <w:t>1</w:t>
      </w:r>
      <w:r w:rsidRPr="00342280">
        <w:rPr>
          <w:rFonts w:asciiTheme="majorHAnsi" w:hAnsiTheme="majorHAnsi" w:cstheme="majorHAnsi"/>
          <w:b/>
          <w:bCs/>
          <w:i w:val="0"/>
          <w:iCs w:val="0"/>
          <w:color w:val="487B77" w:themeColor="accent6" w:themeShade="BF"/>
          <w:sz w:val="24"/>
          <w:szCs w:val="24"/>
          <w:lang w:val="el-GR"/>
        </w:rPr>
        <w:fldChar w:fldCharType="end"/>
      </w:r>
      <w:r w:rsidRPr="00342280">
        <w:rPr>
          <w:rFonts w:asciiTheme="majorHAnsi" w:hAnsiTheme="majorHAnsi" w:cstheme="majorHAnsi"/>
          <w:b/>
          <w:bCs/>
          <w:i w:val="0"/>
          <w:iCs w:val="0"/>
          <w:color w:val="487B77" w:themeColor="accent6" w:themeShade="BF"/>
          <w:sz w:val="24"/>
          <w:szCs w:val="24"/>
          <w:lang w:val="el-GR"/>
        </w:rPr>
        <w:t>: Δείκτης κινδύνου φτώχειας ή/και κοινωνικού αποκλεισμού στα άτομα με αναπηρία και χωρίς αναπηρία 16 ετών και άνω</w:t>
      </w:r>
      <w:bookmarkEnd w:id="11"/>
      <w:r w:rsidRPr="00342280">
        <w:rPr>
          <w:rFonts w:asciiTheme="majorHAnsi" w:hAnsiTheme="majorHAnsi" w:cstheme="majorHAnsi"/>
          <w:b/>
          <w:bCs/>
          <w:i w:val="0"/>
          <w:iCs w:val="0"/>
          <w:color w:val="487B77" w:themeColor="accent6" w:themeShade="BF"/>
          <w:sz w:val="24"/>
          <w:szCs w:val="24"/>
          <w:lang w:val="el-GR"/>
        </w:rPr>
        <w:t xml:space="preserve"> </w:t>
      </w:r>
    </w:p>
    <w:p w14:paraId="1B378932" w14:textId="77777777" w:rsidR="00342280" w:rsidRDefault="00342280" w:rsidP="00342280">
      <w:pPr>
        <w:pStyle w:val="af3"/>
        <w:keepNext/>
        <w:spacing w:after="200"/>
        <w:ind w:left="0"/>
        <w:contextualSpacing w:val="0"/>
        <w:jc w:val="both"/>
      </w:pPr>
      <w:r w:rsidRPr="00AC1907">
        <w:rPr>
          <w:rFonts w:ascii="Constantia" w:hAnsi="Constantia"/>
          <w:noProof/>
        </w:rPr>
        <w:drawing>
          <wp:inline distT="0" distB="0" distL="0" distR="0" wp14:anchorId="55F451C2" wp14:editId="794B70B5">
            <wp:extent cx="5302155" cy="3794077"/>
            <wp:effectExtent l="0" t="0" r="13335" b="16510"/>
            <wp:docPr id="1144132145" name="Γράφημα 1" descr="άτομα με μέτρια ή σοβαρή αναπηρία 16 ετών και άνω: 30,1 το 2015, 30,0 το 2016, 31,5 το 2017, 30,1 το 2018, 32,0 το 2019, 29,0 το 2020, 28,3 το 2021, 29,1 το 2022, 30,6 το 2023.&#10;&#10;άτομα με σοβαρή αναπηρία 16 ετών και άνω: 33,1 το 2015, 31,4 το 2016, 34,4 το 2017, 34,5 το 2018, 36,1 το 2019, 31,9 το 2020, 32,2 το 2021, 35,1 το 2022, 34,1 το 2023.&#10;&#10;άτομα χωρίς αναπηρία 16 ετών και άνω: 31,7 το 2015, 32,3 το 2016, 31,3 το 2017, 29,3 το 2018, 27,6 το 2019, 26,2 το 2020, 27,4 το 2021, 25,1 το 2022, 24,2 το 2023.&#10;&#10;">
              <a:extLst xmlns:a="http://schemas.openxmlformats.org/drawingml/2006/main">
                <a:ext uri="{FF2B5EF4-FFF2-40B4-BE49-F238E27FC236}">
                  <a16:creationId xmlns:a16="http://schemas.microsoft.com/office/drawing/2014/main" id="{A85C5A60-2AA6-5BD8-06DE-A7ED9872D8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4F7182" w14:textId="77777777" w:rsidR="00342280" w:rsidRPr="00342280" w:rsidRDefault="00342280" w:rsidP="00342280">
      <w:pPr>
        <w:pStyle w:val="a5"/>
        <w:spacing w:after="240"/>
        <w:ind w:left="142" w:right="282"/>
        <w:jc w:val="center"/>
        <w:rPr>
          <w:color w:val="487B77" w:themeColor="accent6" w:themeShade="BF"/>
        </w:rPr>
      </w:pPr>
      <w:r w:rsidRPr="00CA7C8B">
        <w:rPr>
          <w:color w:val="487B77" w:themeColor="accent6" w:themeShade="BF"/>
          <w:lang w:val="el-GR"/>
        </w:rPr>
        <w:t>Πηγή</w:t>
      </w:r>
      <w:r w:rsidRPr="00342280">
        <w:rPr>
          <w:color w:val="487B77" w:themeColor="accent6" w:themeShade="BF"/>
        </w:rPr>
        <w:t xml:space="preserve"> </w:t>
      </w:r>
      <w:r w:rsidRPr="00CA7C8B">
        <w:rPr>
          <w:color w:val="487B77" w:themeColor="accent6" w:themeShade="BF"/>
          <w:lang w:val="el-GR"/>
        </w:rPr>
        <w:t>δεδομένων</w:t>
      </w:r>
      <w:r w:rsidRPr="00342280">
        <w:rPr>
          <w:color w:val="487B77" w:themeColor="accent6" w:themeShade="BF"/>
        </w:rPr>
        <w:t xml:space="preserve">: </w:t>
      </w:r>
      <w:r w:rsidRPr="00CA7C8B">
        <w:rPr>
          <w:color w:val="487B77" w:themeColor="accent6" w:themeShade="BF"/>
        </w:rPr>
        <w:t>Eurostat</w:t>
      </w:r>
      <w:r w:rsidRPr="00342280">
        <w:rPr>
          <w:color w:val="487B77" w:themeColor="accent6" w:themeShade="BF"/>
        </w:rPr>
        <w:t xml:space="preserve"> </w:t>
      </w:r>
      <w:r w:rsidRPr="00CA7C8B">
        <w:rPr>
          <w:color w:val="487B77" w:themeColor="accent6" w:themeShade="BF"/>
        </w:rPr>
        <w:t>database</w:t>
      </w:r>
      <w:r w:rsidRPr="00342280">
        <w:rPr>
          <w:color w:val="487B77" w:themeColor="accent6" w:themeShade="BF"/>
        </w:rPr>
        <w:t xml:space="preserve">, </w:t>
      </w:r>
      <w:r w:rsidRPr="00CA7C8B">
        <w:rPr>
          <w:color w:val="487B77" w:themeColor="accent6" w:themeShade="BF"/>
        </w:rPr>
        <w:t>EU</w:t>
      </w:r>
      <w:r w:rsidRPr="00342280">
        <w:rPr>
          <w:color w:val="487B77" w:themeColor="accent6" w:themeShade="BF"/>
        </w:rPr>
        <w:t>-</w:t>
      </w:r>
      <w:r w:rsidRPr="00CA7C8B">
        <w:rPr>
          <w:color w:val="487B77" w:themeColor="accent6" w:themeShade="BF"/>
        </w:rPr>
        <w:t>SILC</w:t>
      </w:r>
      <w:r w:rsidRPr="00342280">
        <w:rPr>
          <w:color w:val="487B77" w:themeColor="accent6" w:themeShade="BF"/>
        </w:rPr>
        <w:t xml:space="preserve"> (</w:t>
      </w:r>
      <w:r w:rsidRPr="00CA7C8B">
        <w:rPr>
          <w:color w:val="487B77" w:themeColor="accent6" w:themeShade="BF"/>
        </w:rPr>
        <w:t>Statistics</w:t>
      </w:r>
      <w:r w:rsidRPr="00342280">
        <w:rPr>
          <w:color w:val="487B77" w:themeColor="accent6" w:themeShade="BF"/>
        </w:rPr>
        <w:t xml:space="preserve"> </w:t>
      </w:r>
      <w:r w:rsidRPr="00CA7C8B">
        <w:rPr>
          <w:color w:val="487B77" w:themeColor="accent6" w:themeShade="BF"/>
        </w:rPr>
        <w:t>on</w:t>
      </w:r>
      <w:r w:rsidRPr="00342280">
        <w:rPr>
          <w:color w:val="487B77" w:themeColor="accent6" w:themeShade="BF"/>
        </w:rPr>
        <w:t xml:space="preserve"> </w:t>
      </w:r>
      <w:r w:rsidRPr="00CA7C8B">
        <w:rPr>
          <w:color w:val="487B77" w:themeColor="accent6" w:themeShade="BF"/>
        </w:rPr>
        <w:t>Income</w:t>
      </w:r>
      <w:r w:rsidRPr="00342280">
        <w:rPr>
          <w:color w:val="487B77" w:themeColor="accent6" w:themeShade="BF"/>
        </w:rPr>
        <w:t xml:space="preserve"> </w:t>
      </w:r>
      <w:r w:rsidRPr="00CA7C8B">
        <w:rPr>
          <w:color w:val="487B77" w:themeColor="accent6" w:themeShade="BF"/>
        </w:rPr>
        <w:t>and</w:t>
      </w:r>
      <w:r w:rsidRPr="00342280">
        <w:rPr>
          <w:color w:val="487B77" w:themeColor="accent6" w:themeShade="BF"/>
        </w:rPr>
        <w:t xml:space="preserve"> </w:t>
      </w:r>
      <w:r w:rsidRPr="00CA7C8B">
        <w:rPr>
          <w:color w:val="487B77" w:themeColor="accent6" w:themeShade="BF"/>
        </w:rPr>
        <w:t>Living</w:t>
      </w:r>
      <w:r w:rsidRPr="00342280">
        <w:rPr>
          <w:color w:val="487B77" w:themeColor="accent6" w:themeShade="BF"/>
        </w:rPr>
        <w:t xml:space="preserve"> </w:t>
      </w:r>
      <w:r w:rsidRPr="00CA7C8B">
        <w:rPr>
          <w:color w:val="487B77" w:themeColor="accent6" w:themeShade="BF"/>
        </w:rPr>
        <w:t>Conditions</w:t>
      </w:r>
      <w:r w:rsidRPr="00342280">
        <w:rPr>
          <w:color w:val="487B77" w:themeColor="accent6" w:themeShade="BF"/>
        </w:rPr>
        <w:t>)</w:t>
      </w:r>
      <w:r w:rsidRPr="00342280">
        <w:rPr>
          <w:color w:val="487B77" w:themeColor="accent6" w:themeShade="BF"/>
        </w:rPr>
        <w:br/>
      </w:r>
      <w:r w:rsidRPr="00CA7C8B">
        <w:rPr>
          <w:color w:val="487B77" w:themeColor="accent6" w:themeShade="BF"/>
          <w:lang w:val="el-GR"/>
        </w:rPr>
        <w:t>Επεξεργασία</w:t>
      </w:r>
      <w:r w:rsidRPr="00342280">
        <w:rPr>
          <w:color w:val="487B77" w:themeColor="accent6" w:themeShade="BF"/>
        </w:rPr>
        <w:t xml:space="preserve"> </w:t>
      </w:r>
      <w:r w:rsidRPr="00CA7C8B">
        <w:rPr>
          <w:color w:val="487B77" w:themeColor="accent6" w:themeShade="BF"/>
          <w:lang w:val="el-GR"/>
        </w:rPr>
        <w:t>δεδομένων</w:t>
      </w:r>
      <w:r w:rsidRPr="00342280">
        <w:rPr>
          <w:color w:val="487B77" w:themeColor="accent6" w:themeShade="BF"/>
        </w:rPr>
        <w:t xml:space="preserve">: </w:t>
      </w:r>
      <w:r w:rsidRPr="00CA7C8B">
        <w:rPr>
          <w:color w:val="487B77" w:themeColor="accent6" w:themeShade="BF"/>
          <w:lang w:val="el-GR"/>
        </w:rPr>
        <w:t>Παρατηρητήριο</w:t>
      </w:r>
      <w:r w:rsidRPr="00342280">
        <w:rPr>
          <w:color w:val="487B77" w:themeColor="accent6" w:themeShade="BF"/>
        </w:rPr>
        <w:t xml:space="preserve"> </w:t>
      </w:r>
      <w:r w:rsidRPr="00CA7C8B">
        <w:rPr>
          <w:color w:val="487B77" w:themeColor="accent6" w:themeShade="BF"/>
          <w:lang w:val="el-GR"/>
        </w:rPr>
        <w:t>Θεμάτων</w:t>
      </w:r>
      <w:r w:rsidRPr="00342280">
        <w:rPr>
          <w:color w:val="487B77" w:themeColor="accent6" w:themeShade="BF"/>
        </w:rPr>
        <w:t xml:space="preserve"> </w:t>
      </w:r>
      <w:r w:rsidRPr="00CA7C8B">
        <w:rPr>
          <w:color w:val="487B77" w:themeColor="accent6" w:themeShade="BF"/>
          <w:lang w:val="el-GR"/>
        </w:rPr>
        <w:t>Αναπηρίας</w:t>
      </w:r>
    </w:p>
    <w:p w14:paraId="3193BCD7" w14:textId="77777777" w:rsidR="00342280" w:rsidRPr="00342280" w:rsidRDefault="00342280" w:rsidP="00342280">
      <w:pPr>
        <w:pStyle w:val="af3"/>
        <w:spacing w:after="200"/>
        <w:ind w:left="0"/>
        <w:contextualSpacing w:val="0"/>
        <w:jc w:val="both"/>
        <w:rPr>
          <w:sz w:val="24"/>
          <w:szCs w:val="24"/>
        </w:rPr>
      </w:pPr>
    </w:p>
    <w:p w14:paraId="2D387EA6" w14:textId="77777777" w:rsidR="00342280" w:rsidRPr="00342280" w:rsidRDefault="00342280" w:rsidP="00342280">
      <w:pPr>
        <w:pStyle w:val="af3"/>
        <w:spacing w:after="200"/>
        <w:ind w:left="0"/>
        <w:contextualSpacing w:val="0"/>
        <w:jc w:val="both"/>
        <w:rPr>
          <w:sz w:val="24"/>
          <w:szCs w:val="24"/>
          <w:lang w:val="el-GR"/>
        </w:rPr>
      </w:pPr>
      <w:r w:rsidRPr="00342280">
        <w:rPr>
          <w:sz w:val="24"/>
          <w:szCs w:val="24"/>
          <w:lang w:val="el-GR"/>
        </w:rPr>
        <w:t xml:space="preserve">Η εξέταση του δείκτη φτώχειας ή/και κοινωνικού αποκλεισμού  στις δύο μεγάλες ηλικιακές ομάδες, 16-64 ετών και 65+, αποκαλύπτει τις τρομακτικές διαστάσεις του φαινομένου στα άτομα με αναπηρία παραγωγικών ηλικιών. </w:t>
      </w:r>
    </w:p>
    <w:p w14:paraId="6B5F70C8" w14:textId="3236AC5E" w:rsidR="00342280" w:rsidRPr="00342280" w:rsidRDefault="00342280" w:rsidP="00342280">
      <w:pPr>
        <w:pStyle w:val="af3"/>
        <w:spacing w:after="200"/>
        <w:ind w:left="0"/>
        <w:contextualSpacing w:val="0"/>
        <w:jc w:val="both"/>
        <w:rPr>
          <w:sz w:val="24"/>
          <w:szCs w:val="24"/>
          <w:lang w:val="el-GR"/>
        </w:rPr>
      </w:pPr>
      <w:r w:rsidRPr="00342280">
        <w:rPr>
          <w:sz w:val="24"/>
          <w:szCs w:val="24"/>
          <w:lang w:val="el-GR"/>
        </w:rPr>
        <w:t>Γενικά, σημειώνουμε ότι ο κίνδυνος φτώχειας ή κοινωνικού αποκλεισμού στην Ελλάδα είναι σημαντικά υψηλότερος στα άτομα ηλικίας 16-64 ετών (ανεξαρτήτως κατάστασης αναπηρίας) για μια σειρά από λόγους, οι οποίοι σχετίζονται τόσο με διαρθρωτικές αδυναμίες της οικονομίας όσο και με τις επιπτώσεις των πρόσφατων πολλαπλών κρίσεων (οικονομική κρίση, πανδημία, ενεργειακή κρίση κ.λπ.).</w:t>
      </w:r>
    </w:p>
    <w:p w14:paraId="477697A0" w14:textId="05FCA0A9" w:rsidR="00342280" w:rsidRPr="00342280" w:rsidRDefault="00342280" w:rsidP="00342280">
      <w:pPr>
        <w:pStyle w:val="af3"/>
        <w:spacing w:after="200"/>
        <w:ind w:left="0"/>
        <w:contextualSpacing w:val="0"/>
        <w:jc w:val="both"/>
        <w:rPr>
          <w:sz w:val="24"/>
          <w:szCs w:val="24"/>
          <w:lang w:val="el-GR"/>
        </w:rPr>
      </w:pPr>
      <w:r w:rsidRPr="00342280">
        <w:rPr>
          <w:sz w:val="24"/>
          <w:szCs w:val="24"/>
          <w:lang w:val="el-GR"/>
        </w:rPr>
        <w:t xml:space="preserve">Εστιάζοντας όμως στα άτομα με αναπηρία, βλέπουμε ότι η  Ελλάδα βρίσκεται στη δεύτερη χειρότερη θέση (με ελάχιστή διαφορά της τάξεως του 0,1 από την Βουλγαρία) στον δείκτη κινδύνου φτώχειας ή/και κοινωνικού αποκλεισμού των ατόμων με αναπηρία (μέτρια ή σοβαρή) και ηλικία 16 -64 ετών. Ο ένας στους 2 (48,4%) πολίτες με αναπηρία στο ηλικιακό εύρος 16 έως 64 ετών, αντιμετωπίζει τη φτώχεια ή/και τον κοινωνικό αποκλεισμό. Στην ίδια ηλικιακή κατηγορία, τα άτομα με σοβαρής μορφής αναπηρία καταγράφουν ποσοστό φτώχειας  ή/και αποκλεισμού της τάξεως του 54% (53,6%). </w:t>
      </w:r>
    </w:p>
    <w:p w14:paraId="44B8D409"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1F4BABE8"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108BA1AC"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647720CF"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32B063C1"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0ACFA0C1"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4C545D49"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171F2563"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4C088969"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6B00F667"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70749CF4"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1D99A42F"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66AAE33B" w14:textId="77777777" w:rsidR="00373B94" w:rsidRDefault="00373B94"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p>
    <w:p w14:paraId="2BA3AF6A" w14:textId="2A3C4EE1" w:rsidR="00342280" w:rsidRPr="00342280" w:rsidRDefault="00342280" w:rsidP="00342280">
      <w:pPr>
        <w:pStyle w:val="a5"/>
        <w:ind w:left="567" w:right="565"/>
        <w:jc w:val="center"/>
        <w:rPr>
          <w:rFonts w:asciiTheme="majorHAnsi" w:hAnsiTheme="majorHAnsi" w:cstheme="majorHAnsi"/>
          <w:b/>
          <w:bCs/>
          <w:i w:val="0"/>
          <w:iCs w:val="0"/>
          <w:color w:val="487B77" w:themeColor="accent6" w:themeShade="BF"/>
          <w:sz w:val="24"/>
          <w:szCs w:val="24"/>
          <w:lang w:val="el-GR"/>
        </w:rPr>
      </w:pPr>
      <w:bookmarkStart w:id="12" w:name="_Toc209426978"/>
      <w:r w:rsidRPr="00342280">
        <w:rPr>
          <w:rFonts w:asciiTheme="majorHAnsi" w:hAnsiTheme="majorHAnsi" w:cstheme="majorHAnsi"/>
          <w:b/>
          <w:bCs/>
          <w:i w:val="0"/>
          <w:iCs w:val="0"/>
          <w:color w:val="487B77" w:themeColor="accent6" w:themeShade="BF"/>
          <w:sz w:val="24"/>
          <w:szCs w:val="24"/>
          <w:lang w:val="el-GR"/>
        </w:rPr>
        <w:lastRenderedPageBreak/>
        <w:t xml:space="preserve">Γράφημα </w:t>
      </w:r>
      <w:r w:rsidRPr="00342280">
        <w:rPr>
          <w:rFonts w:asciiTheme="majorHAnsi" w:hAnsiTheme="majorHAnsi" w:cstheme="majorHAnsi"/>
          <w:b/>
          <w:bCs/>
          <w:i w:val="0"/>
          <w:iCs w:val="0"/>
          <w:color w:val="487B77" w:themeColor="accent6" w:themeShade="BF"/>
          <w:sz w:val="24"/>
          <w:szCs w:val="24"/>
          <w:lang w:val="el-GR"/>
        </w:rPr>
        <w:fldChar w:fldCharType="begin"/>
      </w:r>
      <w:r w:rsidRPr="00342280">
        <w:rPr>
          <w:rFonts w:asciiTheme="majorHAnsi" w:hAnsiTheme="majorHAnsi" w:cstheme="majorHAnsi"/>
          <w:b/>
          <w:bCs/>
          <w:i w:val="0"/>
          <w:iCs w:val="0"/>
          <w:color w:val="487B77" w:themeColor="accent6" w:themeShade="BF"/>
          <w:sz w:val="24"/>
          <w:szCs w:val="24"/>
          <w:lang w:val="el-GR"/>
        </w:rPr>
        <w:instrText xml:space="preserve"> SEQ Γράφημα \* ARABIC </w:instrText>
      </w:r>
      <w:r w:rsidRPr="00342280">
        <w:rPr>
          <w:rFonts w:asciiTheme="majorHAnsi" w:hAnsiTheme="majorHAnsi" w:cstheme="majorHAnsi"/>
          <w:b/>
          <w:bCs/>
          <w:i w:val="0"/>
          <w:iCs w:val="0"/>
          <w:color w:val="487B77" w:themeColor="accent6" w:themeShade="BF"/>
          <w:sz w:val="24"/>
          <w:szCs w:val="24"/>
          <w:lang w:val="el-GR"/>
        </w:rPr>
        <w:fldChar w:fldCharType="separate"/>
      </w:r>
      <w:r w:rsidRPr="00342280">
        <w:rPr>
          <w:rFonts w:asciiTheme="majorHAnsi" w:hAnsiTheme="majorHAnsi" w:cstheme="majorHAnsi"/>
          <w:b/>
          <w:bCs/>
          <w:i w:val="0"/>
          <w:iCs w:val="0"/>
          <w:color w:val="487B77" w:themeColor="accent6" w:themeShade="BF"/>
          <w:sz w:val="24"/>
          <w:szCs w:val="24"/>
          <w:lang w:val="el-GR"/>
        </w:rPr>
        <w:t>2</w:t>
      </w:r>
      <w:r w:rsidRPr="00342280">
        <w:rPr>
          <w:rFonts w:asciiTheme="majorHAnsi" w:hAnsiTheme="majorHAnsi" w:cstheme="majorHAnsi"/>
          <w:b/>
          <w:bCs/>
          <w:i w:val="0"/>
          <w:iCs w:val="0"/>
          <w:color w:val="487B77" w:themeColor="accent6" w:themeShade="BF"/>
          <w:sz w:val="24"/>
          <w:szCs w:val="24"/>
          <w:lang w:val="el-GR"/>
        </w:rPr>
        <w:fldChar w:fldCharType="end"/>
      </w:r>
      <w:r w:rsidRPr="00342280">
        <w:rPr>
          <w:rFonts w:asciiTheme="majorHAnsi" w:hAnsiTheme="majorHAnsi" w:cstheme="majorHAnsi"/>
          <w:b/>
          <w:bCs/>
          <w:i w:val="0"/>
          <w:iCs w:val="0"/>
          <w:color w:val="487B77" w:themeColor="accent6" w:themeShade="BF"/>
          <w:sz w:val="24"/>
          <w:szCs w:val="24"/>
          <w:lang w:val="el-GR"/>
        </w:rPr>
        <w:t>: Δείκτης κινδύνου φτώχειας ή/και κοινωνικού αποκλεισμού στα άτομα με αναπηρία και χωρίς αναπηρία κατά ομάδα ηλικίας και σοβαρότητα αναπηρίας</w:t>
      </w:r>
      <w:bookmarkEnd w:id="12"/>
      <w:r w:rsidRPr="00342280">
        <w:rPr>
          <w:rFonts w:asciiTheme="majorHAnsi" w:hAnsiTheme="majorHAnsi" w:cstheme="majorHAnsi"/>
          <w:b/>
          <w:bCs/>
          <w:i w:val="0"/>
          <w:iCs w:val="0"/>
          <w:color w:val="487B77" w:themeColor="accent6" w:themeShade="BF"/>
          <w:sz w:val="24"/>
          <w:szCs w:val="24"/>
          <w:lang w:val="el-GR"/>
        </w:rPr>
        <w:t xml:space="preserve"> </w:t>
      </w:r>
    </w:p>
    <w:p w14:paraId="2848E27E" w14:textId="77777777" w:rsidR="00373B94" w:rsidRDefault="00342280" w:rsidP="00373B94">
      <w:pPr>
        <w:pStyle w:val="af3"/>
        <w:keepNext/>
        <w:spacing w:after="200"/>
        <w:ind w:left="426"/>
        <w:jc w:val="both"/>
      </w:pPr>
      <w:r w:rsidRPr="00342280">
        <w:rPr>
          <w:noProof/>
          <w:sz w:val="24"/>
          <w:szCs w:val="24"/>
          <w:lang w:val="de-DE"/>
        </w:rPr>
        <w:drawing>
          <wp:inline distT="0" distB="0" distL="0" distR="0" wp14:anchorId="2C803819" wp14:editId="33762FDD">
            <wp:extent cx="5340096" cy="5274259"/>
            <wp:effectExtent l="0" t="0" r="13335" b="3175"/>
            <wp:docPr id="535576553" name="Γράφημα 1" descr="άτομα με μέτρια ή σοβαρή αναπηρία 65 ετών και άνω : 19,5 το 2015, 17,6 το 2016, 20,6 το 2017, 20,7 το 2018, 23,1 το 2019, 21,3 το 2020, 20,8 το 2021, 22,7 το 2022, 26,4 το 2023, 27,6 το 2024.&#10;&#10;άτομα με σοβαρή αναπηρία 65 ετών και άνω : 22,4 το 2015, 19,3 το 2016, 23 το 2017, 23,4 το 2018, 25,6 το 2019, 23,6 το 2020, 22,7 το 2021, 27,4 το 2022, 27,8 το 2023, 30,2 το 2024.&#10;&#10;άτομα με μέτρια ή σοβαρή αναπηρία 16-64 ετών: 45,5 το 2015, 48,3 το 2016, 48,6 το 2017, 49,3 το 2018, 49,6 το 2019, 45,4 το 2020, 43,6 το 2021, 42,2 το 2022, 39,9 το 2023, 48,3 το 2024.&#10;&#10;άτομα με σοβαρή αναπηρία 16-64 ετών : 54,5 το 2015, 51,4 το 2016, 53,9 το 2017, 54,7 το 2018, 49,8 το 2019, 47,2 το 2020, 39 το 2021, 52,4 το 2022, 53,9 το 2023, 53,6 το 2024.&#10;&#10;άτομα χωρίς αναπηρία 16-64 ετών : 34,4 το 2015, 35 το 2016, 33,9 το 2017, 31,2 το 2018, 29,4 το 2019, 27,7 το 2020, 29,1 το 2021, 26,2 το 2022, 24,9 το 2023, 25,8 το 2024.&#10;&#10;άτομα χωρίς αναπηρία 65 ετών και άνω: 13,8 το 2015, 15,0 το 2016, 15,2 το 2017, 16,1 το 2018, 16,2 το 2019, 16,3 το 2020, 16,9 το 2021, 18,7 το 2022, 20,1 το 2023, 21,8 το 2024.">
              <a:extLst xmlns:a="http://schemas.openxmlformats.org/drawingml/2006/main">
                <a:ext uri="{FF2B5EF4-FFF2-40B4-BE49-F238E27FC236}">
                  <a16:creationId xmlns:a16="http://schemas.microsoft.com/office/drawing/2014/main" id="{A6A6DBC0-FD41-4486-99D1-A87B49B1FC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7AF8AB" w14:textId="77777777" w:rsidR="00373B94" w:rsidRPr="00342280" w:rsidRDefault="00373B94" w:rsidP="00373B94">
      <w:pPr>
        <w:pStyle w:val="a5"/>
        <w:spacing w:after="240"/>
        <w:ind w:left="142" w:right="282"/>
        <w:jc w:val="center"/>
        <w:rPr>
          <w:color w:val="487B77" w:themeColor="accent6" w:themeShade="BF"/>
        </w:rPr>
      </w:pPr>
      <w:r w:rsidRPr="00CA7C8B">
        <w:rPr>
          <w:color w:val="487B77" w:themeColor="accent6" w:themeShade="BF"/>
          <w:lang w:val="el-GR"/>
        </w:rPr>
        <w:t>Πηγή</w:t>
      </w:r>
      <w:r w:rsidRPr="00342280">
        <w:rPr>
          <w:color w:val="487B77" w:themeColor="accent6" w:themeShade="BF"/>
        </w:rPr>
        <w:t xml:space="preserve"> </w:t>
      </w:r>
      <w:r w:rsidRPr="00CA7C8B">
        <w:rPr>
          <w:color w:val="487B77" w:themeColor="accent6" w:themeShade="BF"/>
          <w:lang w:val="el-GR"/>
        </w:rPr>
        <w:t>δεδομένων</w:t>
      </w:r>
      <w:r w:rsidRPr="00342280">
        <w:rPr>
          <w:color w:val="487B77" w:themeColor="accent6" w:themeShade="BF"/>
        </w:rPr>
        <w:t xml:space="preserve">: </w:t>
      </w:r>
      <w:r w:rsidRPr="00CA7C8B">
        <w:rPr>
          <w:color w:val="487B77" w:themeColor="accent6" w:themeShade="BF"/>
        </w:rPr>
        <w:t>Eurostat</w:t>
      </w:r>
      <w:r w:rsidRPr="00342280">
        <w:rPr>
          <w:color w:val="487B77" w:themeColor="accent6" w:themeShade="BF"/>
        </w:rPr>
        <w:t xml:space="preserve"> </w:t>
      </w:r>
      <w:r w:rsidRPr="00CA7C8B">
        <w:rPr>
          <w:color w:val="487B77" w:themeColor="accent6" w:themeShade="BF"/>
        </w:rPr>
        <w:t>database</w:t>
      </w:r>
      <w:r w:rsidRPr="00342280">
        <w:rPr>
          <w:color w:val="487B77" w:themeColor="accent6" w:themeShade="BF"/>
        </w:rPr>
        <w:t xml:space="preserve">, </w:t>
      </w:r>
      <w:r w:rsidRPr="00CA7C8B">
        <w:rPr>
          <w:color w:val="487B77" w:themeColor="accent6" w:themeShade="BF"/>
        </w:rPr>
        <w:t>EU</w:t>
      </w:r>
      <w:r w:rsidRPr="00342280">
        <w:rPr>
          <w:color w:val="487B77" w:themeColor="accent6" w:themeShade="BF"/>
        </w:rPr>
        <w:t>-</w:t>
      </w:r>
      <w:r w:rsidRPr="00CA7C8B">
        <w:rPr>
          <w:color w:val="487B77" w:themeColor="accent6" w:themeShade="BF"/>
        </w:rPr>
        <w:t>SILC</w:t>
      </w:r>
      <w:r w:rsidRPr="00342280">
        <w:rPr>
          <w:color w:val="487B77" w:themeColor="accent6" w:themeShade="BF"/>
        </w:rPr>
        <w:t xml:space="preserve"> (</w:t>
      </w:r>
      <w:r w:rsidRPr="00CA7C8B">
        <w:rPr>
          <w:color w:val="487B77" w:themeColor="accent6" w:themeShade="BF"/>
        </w:rPr>
        <w:t>Statistics</w:t>
      </w:r>
      <w:r w:rsidRPr="00342280">
        <w:rPr>
          <w:color w:val="487B77" w:themeColor="accent6" w:themeShade="BF"/>
        </w:rPr>
        <w:t xml:space="preserve"> </w:t>
      </w:r>
      <w:r w:rsidRPr="00CA7C8B">
        <w:rPr>
          <w:color w:val="487B77" w:themeColor="accent6" w:themeShade="BF"/>
        </w:rPr>
        <w:t>on</w:t>
      </w:r>
      <w:r w:rsidRPr="00342280">
        <w:rPr>
          <w:color w:val="487B77" w:themeColor="accent6" w:themeShade="BF"/>
        </w:rPr>
        <w:t xml:space="preserve"> </w:t>
      </w:r>
      <w:r w:rsidRPr="00CA7C8B">
        <w:rPr>
          <w:color w:val="487B77" w:themeColor="accent6" w:themeShade="BF"/>
        </w:rPr>
        <w:t>Income</w:t>
      </w:r>
      <w:r w:rsidRPr="00342280">
        <w:rPr>
          <w:color w:val="487B77" w:themeColor="accent6" w:themeShade="BF"/>
        </w:rPr>
        <w:t xml:space="preserve"> </w:t>
      </w:r>
      <w:r w:rsidRPr="00CA7C8B">
        <w:rPr>
          <w:color w:val="487B77" w:themeColor="accent6" w:themeShade="BF"/>
        </w:rPr>
        <w:t>and</w:t>
      </w:r>
      <w:r w:rsidRPr="00342280">
        <w:rPr>
          <w:color w:val="487B77" w:themeColor="accent6" w:themeShade="BF"/>
        </w:rPr>
        <w:t xml:space="preserve"> </w:t>
      </w:r>
      <w:r w:rsidRPr="00CA7C8B">
        <w:rPr>
          <w:color w:val="487B77" w:themeColor="accent6" w:themeShade="BF"/>
        </w:rPr>
        <w:t>Living</w:t>
      </w:r>
      <w:r w:rsidRPr="00342280">
        <w:rPr>
          <w:color w:val="487B77" w:themeColor="accent6" w:themeShade="BF"/>
        </w:rPr>
        <w:t xml:space="preserve"> </w:t>
      </w:r>
      <w:r w:rsidRPr="00CA7C8B">
        <w:rPr>
          <w:color w:val="487B77" w:themeColor="accent6" w:themeShade="BF"/>
        </w:rPr>
        <w:t>Conditions</w:t>
      </w:r>
      <w:r w:rsidRPr="00342280">
        <w:rPr>
          <w:color w:val="487B77" w:themeColor="accent6" w:themeShade="BF"/>
        </w:rPr>
        <w:t>)</w:t>
      </w:r>
      <w:r w:rsidRPr="00342280">
        <w:rPr>
          <w:color w:val="487B77" w:themeColor="accent6" w:themeShade="BF"/>
        </w:rPr>
        <w:br/>
      </w:r>
      <w:r w:rsidRPr="00CA7C8B">
        <w:rPr>
          <w:color w:val="487B77" w:themeColor="accent6" w:themeShade="BF"/>
          <w:lang w:val="el-GR"/>
        </w:rPr>
        <w:t>Επεξεργασία</w:t>
      </w:r>
      <w:r w:rsidRPr="00342280">
        <w:rPr>
          <w:color w:val="487B77" w:themeColor="accent6" w:themeShade="BF"/>
        </w:rPr>
        <w:t xml:space="preserve"> </w:t>
      </w:r>
      <w:r w:rsidRPr="00CA7C8B">
        <w:rPr>
          <w:color w:val="487B77" w:themeColor="accent6" w:themeShade="BF"/>
          <w:lang w:val="el-GR"/>
        </w:rPr>
        <w:t>δεδομένων</w:t>
      </w:r>
      <w:r w:rsidRPr="00342280">
        <w:rPr>
          <w:color w:val="487B77" w:themeColor="accent6" w:themeShade="BF"/>
        </w:rPr>
        <w:t xml:space="preserve">: </w:t>
      </w:r>
      <w:r w:rsidRPr="00CA7C8B">
        <w:rPr>
          <w:color w:val="487B77" w:themeColor="accent6" w:themeShade="BF"/>
          <w:lang w:val="el-GR"/>
        </w:rPr>
        <w:t>Παρατηρητήριο</w:t>
      </w:r>
      <w:r w:rsidRPr="00342280">
        <w:rPr>
          <w:color w:val="487B77" w:themeColor="accent6" w:themeShade="BF"/>
        </w:rPr>
        <w:t xml:space="preserve"> </w:t>
      </w:r>
      <w:r w:rsidRPr="00CA7C8B">
        <w:rPr>
          <w:color w:val="487B77" w:themeColor="accent6" w:themeShade="BF"/>
          <w:lang w:val="el-GR"/>
        </w:rPr>
        <w:t>Θεμάτων</w:t>
      </w:r>
      <w:r w:rsidRPr="00342280">
        <w:rPr>
          <w:color w:val="487B77" w:themeColor="accent6" w:themeShade="BF"/>
        </w:rPr>
        <w:t xml:space="preserve"> </w:t>
      </w:r>
      <w:r w:rsidRPr="00CA7C8B">
        <w:rPr>
          <w:color w:val="487B77" w:themeColor="accent6" w:themeShade="BF"/>
          <w:lang w:val="el-GR"/>
        </w:rPr>
        <w:t>Αναπηρίας</w:t>
      </w:r>
    </w:p>
    <w:p w14:paraId="418D4AA0" w14:textId="3B230B72" w:rsidR="00342280" w:rsidRPr="00373B94" w:rsidRDefault="00342280" w:rsidP="00373B94">
      <w:pPr>
        <w:pStyle w:val="a5"/>
        <w:jc w:val="both"/>
        <w:rPr>
          <w:sz w:val="24"/>
          <w:szCs w:val="24"/>
        </w:rPr>
      </w:pPr>
    </w:p>
    <w:p w14:paraId="6474C326" w14:textId="77777777" w:rsidR="00342280" w:rsidRPr="00373B94" w:rsidRDefault="00342280" w:rsidP="00342280">
      <w:pPr>
        <w:pStyle w:val="af3"/>
        <w:spacing w:after="200"/>
        <w:jc w:val="both"/>
        <w:rPr>
          <w:sz w:val="24"/>
          <w:szCs w:val="24"/>
        </w:rPr>
      </w:pPr>
    </w:p>
    <w:p w14:paraId="4E74A66B" w14:textId="77777777" w:rsidR="00373B94" w:rsidRPr="00373B94" w:rsidRDefault="00373B94" w:rsidP="00342280">
      <w:pPr>
        <w:pStyle w:val="af3"/>
        <w:spacing w:after="200"/>
        <w:ind w:left="0"/>
        <w:contextualSpacing w:val="0"/>
        <w:jc w:val="both"/>
        <w:rPr>
          <w:sz w:val="24"/>
          <w:szCs w:val="24"/>
        </w:rPr>
      </w:pPr>
    </w:p>
    <w:p w14:paraId="51171F20" w14:textId="77777777" w:rsidR="00373B94" w:rsidRPr="0098570E" w:rsidRDefault="00373B94" w:rsidP="00342280">
      <w:pPr>
        <w:pStyle w:val="af3"/>
        <w:spacing w:after="200"/>
        <w:ind w:left="0"/>
        <w:contextualSpacing w:val="0"/>
        <w:jc w:val="both"/>
        <w:rPr>
          <w:sz w:val="24"/>
          <w:szCs w:val="24"/>
        </w:rPr>
      </w:pPr>
    </w:p>
    <w:p w14:paraId="6870072D" w14:textId="77777777" w:rsidR="00E31445" w:rsidRPr="0098570E" w:rsidRDefault="00E31445" w:rsidP="00342280">
      <w:pPr>
        <w:pStyle w:val="af3"/>
        <w:spacing w:after="200"/>
        <w:ind w:left="0"/>
        <w:contextualSpacing w:val="0"/>
        <w:jc w:val="both"/>
        <w:rPr>
          <w:sz w:val="24"/>
          <w:szCs w:val="24"/>
        </w:rPr>
      </w:pPr>
    </w:p>
    <w:p w14:paraId="6962EFA8" w14:textId="77777777" w:rsidR="00E31445" w:rsidRPr="0098570E" w:rsidRDefault="00E31445" w:rsidP="00342280">
      <w:pPr>
        <w:pStyle w:val="af3"/>
        <w:spacing w:after="200"/>
        <w:ind w:left="0"/>
        <w:contextualSpacing w:val="0"/>
        <w:jc w:val="both"/>
        <w:rPr>
          <w:sz w:val="24"/>
          <w:szCs w:val="24"/>
        </w:rPr>
      </w:pPr>
    </w:p>
    <w:p w14:paraId="6E6F7FA3" w14:textId="6C2135BA" w:rsidR="00342280" w:rsidRPr="00342280" w:rsidRDefault="00342280" w:rsidP="00342280">
      <w:pPr>
        <w:pStyle w:val="af3"/>
        <w:spacing w:after="200"/>
        <w:ind w:left="0"/>
        <w:contextualSpacing w:val="0"/>
        <w:jc w:val="both"/>
        <w:rPr>
          <w:sz w:val="24"/>
          <w:szCs w:val="24"/>
          <w:lang w:val="el-GR"/>
        </w:rPr>
      </w:pPr>
      <w:r w:rsidRPr="00342280">
        <w:rPr>
          <w:sz w:val="24"/>
          <w:szCs w:val="24"/>
          <w:lang w:val="el-GR"/>
        </w:rPr>
        <w:lastRenderedPageBreak/>
        <w:t>Εξετάζοντας τη διαχρονική εξέλιξη του δείκτη ανά ομάδα ηλικίας, διαπιστώνουμε τα εξής:</w:t>
      </w:r>
    </w:p>
    <w:p w14:paraId="46809390" w14:textId="0AB9370F" w:rsidR="00342280" w:rsidRPr="00342280" w:rsidRDefault="00342280" w:rsidP="00342280">
      <w:pPr>
        <w:pStyle w:val="af3"/>
        <w:spacing w:after="200"/>
        <w:ind w:left="0"/>
        <w:contextualSpacing w:val="0"/>
        <w:jc w:val="both"/>
        <w:rPr>
          <w:sz w:val="24"/>
          <w:szCs w:val="24"/>
          <w:lang w:val="el-GR"/>
        </w:rPr>
      </w:pPr>
      <w:r w:rsidRPr="00342280">
        <w:rPr>
          <w:sz w:val="24"/>
          <w:szCs w:val="24"/>
          <w:lang w:val="el-GR"/>
        </w:rPr>
        <w:t>Κατά το διάστημα αναφοράς</w:t>
      </w:r>
      <w:r w:rsidR="00373B94">
        <w:rPr>
          <w:sz w:val="24"/>
          <w:szCs w:val="24"/>
          <w:lang w:val="el-GR"/>
        </w:rPr>
        <w:t>, ο</w:t>
      </w:r>
      <w:r w:rsidRPr="00342280">
        <w:rPr>
          <w:sz w:val="24"/>
          <w:szCs w:val="24"/>
          <w:lang w:val="el-GR"/>
        </w:rPr>
        <w:t xml:space="preserve"> δείκτης κινδύνου φτώχειας ή/και κοινωνικού αποκλεισμού στα άτομα χωρίς αναπηρία ηλικίας 16-64 ετών καταγράφει μια σταθερή και αξιοσημείωτη τάση αποκλιμάκωσης. Σε αντίθεση, στον πληθυσμό με αναπηρία ο δείκτης καταγράφει ασταθή συμπεριφορά και εκ νέου αυξητική τάση την τελευταία τριετία. </w:t>
      </w:r>
    </w:p>
    <w:p w14:paraId="4DA9E530" w14:textId="77777777" w:rsidR="00342280" w:rsidRPr="00342280" w:rsidRDefault="00342280" w:rsidP="00342280">
      <w:pPr>
        <w:pStyle w:val="af3"/>
        <w:spacing w:after="200"/>
        <w:ind w:left="0"/>
        <w:contextualSpacing w:val="0"/>
        <w:jc w:val="both"/>
        <w:rPr>
          <w:sz w:val="24"/>
          <w:szCs w:val="24"/>
          <w:lang w:val="el-GR"/>
        </w:rPr>
      </w:pPr>
      <w:r w:rsidRPr="00342280">
        <w:rPr>
          <w:sz w:val="24"/>
          <w:szCs w:val="24"/>
          <w:lang w:val="el-GR"/>
        </w:rPr>
        <w:t>Ωστόσο, πολύ σοβαρό είναι το εύρημα ότι, ταυτόχρονα, παρατηρείται μια συνεχόμενη διαχρονική αύξηση του κινδύνου φτώχειας στον πληθυσμό 65 ετών και άνω, τόσο στον συνολικό πληθυσμό όσο και στα άτομα με αναπηρία ανεξαρτήτως βαθμού. Παρότι τα ποσοστά κινδύνου φτώχειας και κοινωνικού αποκλεισμού καταγράφουν ακόμα σημαντικά χαμηλότερα επίπεδα σε αυτήν την ηλικιακή ομάδα, η διαχρονική τάση είναι ανησυχητικά αυξητική.</w:t>
      </w:r>
    </w:p>
    <w:p w14:paraId="6C34FDA7" w14:textId="09CA2F2B" w:rsidR="00342280" w:rsidRDefault="00342280" w:rsidP="00342280">
      <w:pPr>
        <w:pStyle w:val="af3"/>
        <w:spacing w:after="200"/>
        <w:ind w:left="0"/>
        <w:contextualSpacing w:val="0"/>
        <w:jc w:val="both"/>
        <w:rPr>
          <w:sz w:val="24"/>
          <w:szCs w:val="24"/>
          <w:lang w:val="el-GR"/>
        </w:rPr>
      </w:pPr>
      <w:r w:rsidRPr="00342280">
        <w:rPr>
          <w:sz w:val="24"/>
          <w:szCs w:val="24"/>
          <w:lang w:val="el-GR"/>
        </w:rPr>
        <w:t xml:space="preserve">Αναλυτικά, το 2024, το 27,6% των ατόμων με αναπηρία ανεξαρτήτως βαθμού και το 30,2% των ατόμων με σοβαρή αναπηρία στην ηλικία των 65+ αντιμετωπίζει κίνδυνο φτώχειας ή /και κοινωνικού αποκλεισμού, όταν, μια δεκαετία νωρίτερα, οι τιμές του δείκτη υπολογίζονται σε 19,5% και 22,4% αντιστοίχως. </w:t>
      </w:r>
      <w:r w:rsidRPr="00342280">
        <w:rPr>
          <w:sz w:val="24"/>
          <w:szCs w:val="24"/>
          <w:lang w:val="el-GR"/>
        </w:rPr>
        <w:br/>
      </w:r>
    </w:p>
    <w:p w14:paraId="4C92516F" w14:textId="77777777" w:rsidR="009C70A5" w:rsidRDefault="009C70A5" w:rsidP="00342280">
      <w:pPr>
        <w:pStyle w:val="af3"/>
        <w:spacing w:after="200"/>
        <w:ind w:left="0"/>
        <w:contextualSpacing w:val="0"/>
        <w:jc w:val="both"/>
        <w:rPr>
          <w:sz w:val="24"/>
          <w:szCs w:val="24"/>
          <w:lang w:val="el-GR"/>
        </w:rPr>
      </w:pPr>
    </w:p>
    <w:bookmarkEnd w:id="10"/>
    <w:p w14:paraId="700C480A" w14:textId="34B905A7" w:rsidR="00342280" w:rsidRPr="00373B94" w:rsidRDefault="00342280" w:rsidP="00373B94">
      <w:pPr>
        <w:jc w:val="center"/>
        <w:rPr>
          <w:rFonts w:ascii="Constantia" w:hAnsi="Constantia"/>
          <w:b/>
          <w:bCs/>
          <w:color w:val="134163" w:themeColor="accent2" w:themeShade="80"/>
          <w:lang w:val="el-GR"/>
        </w:rPr>
      </w:pPr>
      <w:r w:rsidRPr="00373B94">
        <w:rPr>
          <w:rFonts w:ascii="Constantia" w:hAnsi="Constantia"/>
          <w:b/>
          <w:bCs/>
          <w:color w:val="134163" w:themeColor="accent2" w:themeShade="80"/>
          <w:lang w:val="el-GR"/>
        </w:rPr>
        <w:t>«Ληξιπρόθεσμες (Καθυστερημένες) οφειλές (στεγαστικό δάνειο ή ενοίκιο, λογαριασμοί κοινής ωφελείας ή αγορές με δόσεις)»</w:t>
      </w:r>
    </w:p>
    <w:p w14:paraId="73CAF849" w14:textId="77777777" w:rsidR="00373B94" w:rsidRPr="00A63CF4" w:rsidRDefault="00373B94" w:rsidP="00373B94">
      <w:pPr>
        <w:pStyle w:val="af3"/>
        <w:spacing w:after="200"/>
        <w:ind w:left="0"/>
        <w:contextualSpacing w:val="0"/>
        <w:jc w:val="both"/>
        <w:rPr>
          <w:sz w:val="24"/>
          <w:szCs w:val="24"/>
          <w:lang w:val="el-GR"/>
        </w:rPr>
      </w:pPr>
      <w:r w:rsidRPr="00A63CF4">
        <w:rPr>
          <w:sz w:val="24"/>
          <w:szCs w:val="24"/>
          <w:lang w:val="el-GR"/>
        </w:rPr>
        <w:t xml:space="preserve">Ο δείκτης «ληξιπρόθεσμων οφειλών» αναφέρεται στο ποσοστό του πληθυσμού που έχει ληξιπρόθεσμες οφειλές, αδυνατεί δηλαδή να εξυπηρετήσει εγκαίρως τις οικονομικές του υποχρεώσεις σχετικά με βασικά έξοδα στέγασης ή αγοράς αγαθών. Ειδικότερα ο δείκτης μετράει το ποσοστό πληθυσμού που αναφέρει καθυστέρηση πληρωμών σχετικά με τα εξής: στεγαστικό δάνειο ή ενοίκιο, λογαριασμούς κοινής ωφέλειας, όπως ηλεκτρικό ρεύμα, νερό, κ.λπ., δόσεις για αγορά αγαθών (π.χ. αυτοκινήτου, ηλεκτρικών συσκευών κ.λπ.) </w:t>
      </w:r>
    </w:p>
    <w:p w14:paraId="4CA3FBAF" w14:textId="77777777" w:rsidR="00373B94" w:rsidRPr="00A63CF4" w:rsidRDefault="00373B94" w:rsidP="00373B94">
      <w:pPr>
        <w:pStyle w:val="af3"/>
        <w:spacing w:after="200"/>
        <w:ind w:left="0"/>
        <w:contextualSpacing w:val="0"/>
        <w:jc w:val="both"/>
        <w:rPr>
          <w:sz w:val="24"/>
          <w:szCs w:val="24"/>
          <w:lang w:val="el-GR"/>
        </w:rPr>
      </w:pPr>
      <w:r w:rsidRPr="00A63CF4">
        <w:rPr>
          <w:sz w:val="24"/>
          <w:szCs w:val="24"/>
          <w:lang w:val="el-GR"/>
        </w:rPr>
        <w:t xml:space="preserve">Η Ελλάδα βρίσκεται στην 1η θέση, αποτελώντας αρνητική εξαίρεση στη ΕΕ, με 44,5% των ατόμων με αναπηρία να δηλώνουν ότι έχουν καθυστερήσει την πληρωμή είτε ενοικίου ή στεγαστικού δανείου, λογαριασμών κοινής ωφέλειας ή αγορών με δόσεις. Το ποσοστό είναι υπερδιπλάσιο από το δεύτερο υψηλότερο (Σερβία με 23,2%) και υπερτετραπλάσιο από τον ευρωπαϊκό μέσο όρο (10,2%). Οι οικονομικές δυσκολίες των ατόμων με αναπηρία στην Ελλάδα είναι εξαιρετικά έντονες σε σύγκριση με άλλες ευρωπαϊκές χώρες. </w:t>
      </w:r>
    </w:p>
    <w:p w14:paraId="27550254" w14:textId="77777777" w:rsidR="00373B94" w:rsidRDefault="00373B94" w:rsidP="00342280">
      <w:pPr>
        <w:rPr>
          <w:rFonts w:ascii="Constantia" w:hAnsi="Constantia"/>
          <w:b/>
          <w:bCs/>
          <w:lang w:val="el-GR"/>
        </w:rPr>
      </w:pPr>
    </w:p>
    <w:p w14:paraId="5C30B6BB" w14:textId="77777777" w:rsidR="00373B94" w:rsidRDefault="00373B94" w:rsidP="00342280">
      <w:pPr>
        <w:rPr>
          <w:rFonts w:ascii="Constantia" w:hAnsi="Constantia"/>
          <w:b/>
          <w:bCs/>
          <w:lang w:val="el-GR"/>
        </w:rPr>
      </w:pPr>
    </w:p>
    <w:p w14:paraId="116F952C" w14:textId="4FE3D467" w:rsidR="009C70A5" w:rsidRPr="009C70A5" w:rsidRDefault="009C70A5" w:rsidP="00BB1D26">
      <w:pPr>
        <w:pStyle w:val="a5"/>
        <w:ind w:left="567" w:right="565"/>
        <w:jc w:val="both"/>
        <w:rPr>
          <w:rFonts w:asciiTheme="majorHAnsi" w:hAnsiTheme="majorHAnsi" w:cstheme="majorHAnsi"/>
          <w:b/>
          <w:bCs/>
          <w:i w:val="0"/>
          <w:iCs w:val="0"/>
          <w:color w:val="487B77" w:themeColor="accent6" w:themeShade="BF"/>
          <w:sz w:val="24"/>
          <w:szCs w:val="24"/>
          <w:lang w:val="el-GR"/>
        </w:rPr>
      </w:pPr>
      <w:bookmarkStart w:id="13" w:name="_Toc209430789"/>
      <w:r w:rsidRPr="009C70A5">
        <w:rPr>
          <w:rFonts w:asciiTheme="majorHAnsi" w:hAnsiTheme="majorHAnsi" w:cstheme="majorHAnsi"/>
          <w:b/>
          <w:bCs/>
          <w:i w:val="0"/>
          <w:iCs w:val="0"/>
          <w:color w:val="487B77" w:themeColor="accent6" w:themeShade="BF"/>
          <w:sz w:val="24"/>
          <w:szCs w:val="24"/>
          <w:lang w:val="el-GR"/>
        </w:rPr>
        <w:lastRenderedPageBreak/>
        <w:t xml:space="preserve">Πίνακας </w:t>
      </w:r>
      <w:r w:rsidRPr="009C70A5">
        <w:rPr>
          <w:rFonts w:asciiTheme="majorHAnsi" w:hAnsiTheme="majorHAnsi" w:cstheme="majorHAnsi"/>
          <w:b/>
          <w:bCs/>
          <w:i w:val="0"/>
          <w:iCs w:val="0"/>
          <w:color w:val="487B77" w:themeColor="accent6" w:themeShade="BF"/>
          <w:sz w:val="24"/>
          <w:szCs w:val="24"/>
          <w:lang w:val="el-GR"/>
        </w:rPr>
        <w:fldChar w:fldCharType="begin"/>
      </w:r>
      <w:r w:rsidRPr="009C70A5">
        <w:rPr>
          <w:rFonts w:asciiTheme="majorHAnsi" w:hAnsiTheme="majorHAnsi" w:cstheme="majorHAnsi"/>
          <w:b/>
          <w:bCs/>
          <w:i w:val="0"/>
          <w:iCs w:val="0"/>
          <w:color w:val="487B77" w:themeColor="accent6" w:themeShade="BF"/>
          <w:sz w:val="24"/>
          <w:szCs w:val="24"/>
          <w:lang w:val="el-GR"/>
        </w:rPr>
        <w:instrText xml:space="preserve"> SEQ Πίνακας \* ARABIC </w:instrText>
      </w:r>
      <w:r w:rsidRPr="009C70A5">
        <w:rPr>
          <w:rFonts w:asciiTheme="majorHAnsi" w:hAnsiTheme="majorHAnsi" w:cstheme="majorHAnsi"/>
          <w:b/>
          <w:bCs/>
          <w:i w:val="0"/>
          <w:iCs w:val="0"/>
          <w:color w:val="487B77" w:themeColor="accent6" w:themeShade="BF"/>
          <w:sz w:val="24"/>
          <w:szCs w:val="24"/>
          <w:lang w:val="el-GR"/>
        </w:rPr>
        <w:fldChar w:fldCharType="separate"/>
      </w:r>
      <w:r w:rsidR="00C761A3">
        <w:rPr>
          <w:rFonts w:asciiTheme="majorHAnsi" w:hAnsiTheme="majorHAnsi" w:cstheme="majorHAnsi"/>
          <w:b/>
          <w:bCs/>
          <w:i w:val="0"/>
          <w:iCs w:val="0"/>
          <w:noProof/>
          <w:color w:val="487B77" w:themeColor="accent6" w:themeShade="BF"/>
          <w:sz w:val="24"/>
          <w:szCs w:val="24"/>
          <w:lang w:val="el-GR"/>
        </w:rPr>
        <w:t>2</w:t>
      </w:r>
      <w:r w:rsidRPr="009C70A5">
        <w:rPr>
          <w:rFonts w:asciiTheme="majorHAnsi" w:hAnsiTheme="majorHAnsi" w:cstheme="majorHAnsi"/>
          <w:b/>
          <w:bCs/>
          <w:i w:val="0"/>
          <w:iCs w:val="0"/>
          <w:color w:val="487B77" w:themeColor="accent6" w:themeShade="BF"/>
          <w:sz w:val="24"/>
          <w:szCs w:val="24"/>
          <w:lang w:val="el-GR"/>
        </w:rPr>
        <w:fldChar w:fldCharType="end"/>
      </w:r>
      <w:r w:rsidRPr="009C70A5">
        <w:rPr>
          <w:rFonts w:asciiTheme="majorHAnsi" w:hAnsiTheme="majorHAnsi" w:cstheme="majorHAnsi"/>
          <w:b/>
          <w:bCs/>
          <w:i w:val="0"/>
          <w:iCs w:val="0"/>
          <w:color w:val="487B77" w:themeColor="accent6" w:themeShade="BF"/>
          <w:sz w:val="24"/>
          <w:szCs w:val="24"/>
          <w:lang w:val="el-GR"/>
        </w:rPr>
        <w:t>: Ποσοστό ατόμων με αναπηρία 16 ετών και άνω και ληξιπρόθεσμες οφειλές (ενυπόθηκο δάνειο ή ενοίκιο, λογαριασμοί κοινής ωφελείας ή αγορά με δόσεις) στις χώρες της ΕΕ (</w:t>
      </w:r>
      <w:r w:rsidR="00BB1D26">
        <w:rPr>
          <w:rFonts w:asciiTheme="majorHAnsi" w:hAnsiTheme="majorHAnsi" w:cstheme="majorHAnsi"/>
          <w:b/>
          <w:bCs/>
          <w:i w:val="0"/>
          <w:iCs w:val="0"/>
          <w:color w:val="487B77" w:themeColor="accent6" w:themeShade="BF"/>
          <w:sz w:val="24"/>
          <w:szCs w:val="24"/>
        </w:rPr>
        <w:t>Eurostat</w:t>
      </w:r>
      <w:r w:rsidR="00BB1D26" w:rsidRPr="00BB1D26">
        <w:rPr>
          <w:rFonts w:asciiTheme="majorHAnsi" w:hAnsiTheme="majorHAnsi" w:cstheme="majorHAnsi"/>
          <w:b/>
          <w:bCs/>
          <w:i w:val="0"/>
          <w:iCs w:val="0"/>
          <w:color w:val="487B77" w:themeColor="accent6" w:themeShade="BF"/>
          <w:sz w:val="24"/>
          <w:szCs w:val="24"/>
          <w:lang w:val="el-GR"/>
        </w:rPr>
        <w:t>,</w:t>
      </w:r>
      <w:r w:rsidRPr="009C70A5">
        <w:rPr>
          <w:rFonts w:asciiTheme="majorHAnsi" w:hAnsiTheme="majorHAnsi" w:cstheme="majorHAnsi"/>
          <w:b/>
          <w:bCs/>
          <w:i w:val="0"/>
          <w:iCs w:val="0"/>
          <w:color w:val="487B77" w:themeColor="accent6" w:themeShade="BF"/>
          <w:sz w:val="24"/>
          <w:szCs w:val="24"/>
          <w:lang w:val="el-GR"/>
        </w:rPr>
        <w:t>2024)</w:t>
      </w:r>
      <w:bookmarkEnd w:id="13"/>
    </w:p>
    <w:tbl>
      <w:tblPr>
        <w:tblStyle w:val="1-20"/>
        <w:tblW w:w="6663" w:type="dxa"/>
        <w:tblInd w:w="562" w:type="dxa"/>
        <w:tblLook w:val="04A0" w:firstRow="1" w:lastRow="0" w:firstColumn="1" w:lastColumn="0" w:noHBand="0" w:noVBand="1"/>
      </w:tblPr>
      <w:tblGrid>
        <w:gridCol w:w="5387"/>
        <w:gridCol w:w="1276"/>
      </w:tblGrid>
      <w:tr w:rsidR="00342280" w:rsidRPr="00AC1907" w14:paraId="1EC9A6FF" w14:textId="77777777" w:rsidTr="009C70A5">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387" w:type="dxa"/>
            <w:noWrap/>
            <w:hideMark/>
          </w:tcPr>
          <w:p w14:paraId="39B1558C"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Ελλάδα</w:t>
            </w:r>
          </w:p>
        </w:tc>
        <w:tc>
          <w:tcPr>
            <w:tcW w:w="1276" w:type="dxa"/>
            <w:noWrap/>
            <w:hideMark/>
          </w:tcPr>
          <w:p w14:paraId="632BB4F3" w14:textId="77777777" w:rsidR="00342280" w:rsidRPr="00AC1907" w:rsidRDefault="00342280" w:rsidP="009C70A5">
            <w:pPr>
              <w:spacing w:line="240" w:lineRule="auto"/>
              <w:jc w:val="right"/>
              <w:cnfStyle w:val="100000000000" w:firstRow="1"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44,5</w:t>
            </w:r>
          </w:p>
        </w:tc>
      </w:tr>
      <w:tr w:rsidR="00342280" w:rsidRPr="00AC1907" w14:paraId="42B64125"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39183A83"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Σερβία</w:t>
            </w:r>
          </w:p>
        </w:tc>
        <w:tc>
          <w:tcPr>
            <w:tcW w:w="1276" w:type="dxa"/>
            <w:noWrap/>
            <w:hideMark/>
          </w:tcPr>
          <w:p w14:paraId="71897E11"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23,2</w:t>
            </w:r>
          </w:p>
        </w:tc>
      </w:tr>
      <w:tr w:rsidR="00342280" w:rsidRPr="00AC1907" w14:paraId="7DC1FABF"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64EE02BA"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Βουλγαρία</w:t>
            </w:r>
          </w:p>
        </w:tc>
        <w:tc>
          <w:tcPr>
            <w:tcW w:w="1276" w:type="dxa"/>
            <w:noWrap/>
            <w:hideMark/>
          </w:tcPr>
          <w:p w14:paraId="19EB950E"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23,0</w:t>
            </w:r>
          </w:p>
        </w:tc>
      </w:tr>
      <w:tr w:rsidR="00342280" w:rsidRPr="00AC1907" w14:paraId="1EBC42D8"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15BD683A"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Ρουμανία</w:t>
            </w:r>
          </w:p>
        </w:tc>
        <w:tc>
          <w:tcPr>
            <w:tcW w:w="1276" w:type="dxa"/>
            <w:noWrap/>
            <w:hideMark/>
          </w:tcPr>
          <w:p w14:paraId="1E542FD8"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19,4</w:t>
            </w:r>
          </w:p>
        </w:tc>
      </w:tr>
      <w:tr w:rsidR="00342280" w:rsidRPr="00AC1907" w14:paraId="5C1E053B"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375D15FC"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Ισπανία</w:t>
            </w:r>
          </w:p>
        </w:tc>
        <w:tc>
          <w:tcPr>
            <w:tcW w:w="1276" w:type="dxa"/>
            <w:noWrap/>
            <w:hideMark/>
          </w:tcPr>
          <w:p w14:paraId="09214343"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15,5</w:t>
            </w:r>
          </w:p>
        </w:tc>
      </w:tr>
      <w:tr w:rsidR="00342280" w:rsidRPr="00AC1907" w14:paraId="6948C181"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06BB8280"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Κύπρος</w:t>
            </w:r>
          </w:p>
        </w:tc>
        <w:tc>
          <w:tcPr>
            <w:tcW w:w="1276" w:type="dxa"/>
            <w:noWrap/>
            <w:hideMark/>
          </w:tcPr>
          <w:p w14:paraId="628A28B6"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15,2</w:t>
            </w:r>
          </w:p>
        </w:tc>
      </w:tr>
      <w:tr w:rsidR="00342280" w:rsidRPr="00AC1907" w14:paraId="7765C087"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27346794"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Ιρλανδία</w:t>
            </w:r>
          </w:p>
        </w:tc>
        <w:tc>
          <w:tcPr>
            <w:tcW w:w="1276" w:type="dxa"/>
            <w:noWrap/>
            <w:hideMark/>
          </w:tcPr>
          <w:p w14:paraId="207659F5"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14,9</w:t>
            </w:r>
          </w:p>
        </w:tc>
      </w:tr>
      <w:tr w:rsidR="00342280" w:rsidRPr="00AC1907" w14:paraId="6D4F73D7"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1597E18C"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Φινλανδία</w:t>
            </w:r>
          </w:p>
        </w:tc>
        <w:tc>
          <w:tcPr>
            <w:tcW w:w="1276" w:type="dxa"/>
            <w:noWrap/>
            <w:hideMark/>
          </w:tcPr>
          <w:p w14:paraId="7EB47DEA"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13,2</w:t>
            </w:r>
          </w:p>
        </w:tc>
      </w:tr>
      <w:tr w:rsidR="00342280" w:rsidRPr="00AC1907" w14:paraId="16EFE113"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1C1BE66F"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Σουηδία</w:t>
            </w:r>
          </w:p>
        </w:tc>
        <w:tc>
          <w:tcPr>
            <w:tcW w:w="1276" w:type="dxa"/>
            <w:noWrap/>
            <w:hideMark/>
          </w:tcPr>
          <w:p w14:paraId="7563F661"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12,6</w:t>
            </w:r>
          </w:p>
        </w:tc>
      </w:tr>
      <w:tr w:rsidR="00342280" w:rsidRPr="00AC1907" w14:paraId="08063B5B"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0B9A56DE"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Κροατία</w:t>
            </w:r>
          </w:p>
        </w:tc>
        <w:tc>
          <w:tcPr>
            <w:tcW w:w="1276" w:type="dxa"/>
            <w:noWrap/>
            <w:hideMark/>
          </w:tcPr>
          <w:p w14:paraId="3B0348A2"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12,2</w:t>
            </w:r>
          </w:p>
        </w:tc>
      </w:tr>
      <w:tr w:rsidR="00342280" w:rsidRPr="00AC1907" w14:paraId="51EA2B0A"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721FD6FD"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Ουγγαρία</w:t>
            </w:r>
          </w:p>
        </w:tc>
        <w:tc>
          <w:tcPr>
            <w:tcW w:w="1276" w:type="dxa"/>
            <w:noWrap/>
            <w:hideMark/>
          </w:tcPr>
          <w:p w14:paraId="4A87AC4F"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11,9</w:t>
            </w:r>
          </w:p>
        </w:tc>
      </w:tr>
      <w:tr w:rsidR="00342280" w:rsidRPr="00AC1907" w14:paraId="4E53A63D"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1F81FE65"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Γαλλία</w:t>
            </w:r>
          </w:p>
        </w:tc>
        <w:tc>
          <w:tcPr>
            <w:tcW w:w="1276" w:type="dxa"/>
            <w:noWrap/>
            <w:hideMark/>
          </w:tcPr>
          <w:p w14:paraId="59092169"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11,3</w:t>
            </w:r>
          </w:p>
        </w:tc>
      </w:tr>
      <w:tr w:rsidR="00342280" w:rsidRPr="00AC1907" w14:paraId="6DF47EC8"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7A1D5DFB"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Νορβηγία</w:t>
            </w:r>
          </w:p>
        </w:tc>
        <w:tc>
          <w:tcPr>
            <w:tcW w:w="1276" w:type="dxa"/>
            <w:noWrap/>
            <w:hideMark/>
          </w:tcPr>
          <w:p w14:paraId="53AB4EA2"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10,8</w:t>
            </w:r>
          </w:p>
        </w:tc>
      </w:tr>
      <w:tr w:rsidR="00342280" w:rsidRPr="00AC1907" w14:paraId="7CC86AB2"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57B0A801"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Σλοβενία</w:t>
            </w:r>
          </w:p>
        </w:tc>
        <w:tc>
          <w:tcPr>
            <w:tcW w:w="1276" w:type="dxa"/>
            <w:noWrap/>
            <w:hideMark/>
          </w:tcPr>
          <w:p w14:paraId="2F2A1730"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10,4</w:t>
            </w:r>
          </w:p>
        </w:tc>
      </w:tr>
      <w:tr w:rsidR="00342280" w:rsidRPr="00AC1907" w14:paraId="391D0ED2"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2FB21BD6"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Σλοβακία</w:t>
            </w:r>
          </w:p>
        </w:tc>
        <w:tc>
          <w:tcPr>
            <w:tcW w:w="1276" w:type="dxa"/>
            <w:noWrap/>
            <w:hideMark/>
          </w:tcPr>
          <w:p w14:paraId="5EE2AD3E"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10,3</w:t>
            </w:r>
          </w:p>
        </w:tc>
      </w:tr>
      <w:tr w:rsidR="00342280" w:rsidRPr="00AC1907" w14:paraId="49CAD5A9"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2ACE6C53"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 xml:space="preserve">Ευρωπαϊκή Ένωση - 27 </w:t>
            </w:r>
          </w:p>
        </w:tc>
        <w:tc>
          <w:tcPr>
            <w:tcW w:w="1276" w:type="dxa"/>
            <w:noWrap/>
            <w:hideMark/>
          </w:tcPr>
          <w:p w14:paraId="4C1E846B"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10,2</w:t>
            </w:r>
          </w:p>
        </w:tc>
      </w:tr>
      <w:tr w:rsidR="00342280" w:rsidRPr="00AC1907" w14:paraId="10B73A52" w14:textId="77777777" w:rsidTr="009C70A5">
        <w:trPr>
          <w:trHeight w:val="181"/>
        </w:trPr>
        <w:tc>
          <w:tcPr>
            <w:cnfStyle w:val="001000000000" w:firstRow="0" w:lastRow="0" w:firstColumn="1" w:lastColumn="0" w:oddVBand="0" w:evenVBand="0" w:oddHBand="0" w:evenHBand="0" w:firstRowFirstColumn="0" w:firstRowLastColumn="0" w:lastRowFirstColumn="0" w:lastRowLastColumn="0"/>
            <w:tcW w:w="5387" w:type="dxa"/>
            <w:noWrap/>
            <w:hideMark/>
          </w:tcPr>
          <w:p w14:paraId="0573979A"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Δανία</w:t>
            </w:r>
          </w:p>
        </w:tc>
        <w:tc>
          <w:tcPr>
            <w:tcW w:w="1276" w:type="dxa"/>
            <w:noWrap/>
            <w:hideMark/>
          </w:tcPr>
          <w:p w14:paraId="3E8BB54E"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9,8</w:t>
            </w:r>
          </w:p>
        </w:tc>
      </w:tr>
      <w:tr w:rsidR="00342280" w:rsidRPr="00AC1907" w14:paraId="08815DDC"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60450C1E"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Αυστρία</w:t>
            </w:r>
          </w:p>
        </w:tc>
        <w:tc>
          <w:tcPr>
            <w:tcW w:w="1276" w:type="dxa"/>
            <w:noWrap/>
            <w:hideMark/>
          </w:tcPr>
          <w:p w14:paraId="53EEBACE"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9,3</w:t>
            </w:r>
          </w:p>
        </w:tc>
      </w:tr>
      <w:tr w:rsidR="00342280" w:rsidRPr="00AC1907" w14:paraId="77F20CE2"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65FA7F69"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Λετονία</w:t>
            </w:r>
          </w:p>
        </w:tc>
        <w:tc>
          <w:tcPr>
            <w:tcW w:w="1276" w:type="dxa"/>
            <w:noWrap/>
            <w:hideMark/>
          </w:tcPr>
          <w:p w14:paraId="55F6CBB7"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8,3</w:t>
            </w:r>
          </w:p>
        </w:tc>
      </w:tr>
      <w:tr w:rsidR="00342280" w:rsidRPr="00AC1907" w14:paraId="49C3EA8D"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1BE53F67"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Μάλτα</w:t>
            </w:r>
          </w:p>
        </w:tc>
        <w:tc>
          <w:tcPr>
            <w:tcW w:w="1276" w:type="dxa"/>
            <w:noWrap/>
            <w:hideMark/>
          </w:tcPr>
          <w:p w14:paraId="44BE0B4A"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7,9</w:t>
            </w:r>
          </w:p>
        </w:tc>
      </w:tr>
      <w:tr w:rsidR="00342280" w:rsidRPr="00AC1907" w14:paraId="3832D439"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7C0A06CD"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Εσθονία</w:t>
            </w:r>
          </w:p>
        </w:tc>
        <w:tc>
          <w:tcPr>
            <w:tcW w:w="1276" w:type="dxa"/>
            <w:noWrap/>
            <w:hideMark/>
          </w:tcPr>
          <w:p w14:paraId="27B3CFAC"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7,5</w:t>
            </w:r>
          </w:p>
        </w:tc>
      </w:tr>
      <w:tr w:rsidR="00342280" w:rsidRPr="00AC1907" w14:paraId="5D40F6A7"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11046747"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Γερμανία</w:t>
            </w:r>
          </w:p>
        </w:tc>
        <w:tc>
          <w:tcPr>
            <w:tcW w:w="1276" w:type="dxa"/>
            <w:noWrap/>
            <w:hideMark/>
          </w:tcPr>
          <w:p w14:paraId="70FAB6BA"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7,4</w:t>
            </w:r>
          </w:p>
        </w:tc>
      </w:tr>
      <w:tr w:rsidR="00342280" w:rsidRPr="00AC1907" w14:paraId="27951D35"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204352E4"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Βέλγιο</w:t>
            </w:r>
          </w:p>
        </w:tc>
        <w:tc>
          <w:tcPr>
            <w:tcW w:w="1276" w:type="dxa"/>
            <w:noWrap/>
            <w:hideMark/>
          </w:tcPr>
          <w:p w14:paraId="51CFAFB9"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6,7</w:t>
            </w:r>
          </w:p>
        </w:tc>
      </w:tr>
      <w:tr w:rsidR="00342280" w:rsidRPr="00AC1907" w14:paraId="088761E9"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1E8E3B4B"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Λιθουανία</w:t>
            </w:r>
          </w:p>
        </w:tc>
        <w:tc>
          <w:tcPr>
            <w:tcW w:w="1276" w:type="dxa"/>
            <w:noWrap/>
            <w:hideMark/>
          </w:tcPr>
          <w:p w14:paraId="51857932"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6,7</w:t>
            </w:r>
          </w:p>
        </w:tc>
      </w:tr>
      <w:tr w:rsidR="00342280" w:rsidRPr="00AC1907" w14:paraId="50F8ED31"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4CC3ECF4"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Ιταλία</w:t>
            </w:r>
          </w:p>
        </w:tc>
        <w:tc>
          <w:tcPr>
            <w:tcW w:w="1276" w:type="dxa"/>
            <w:noWrap/>
            <w:hideMark/>
          </w:tcPr>
          <w:p w14:paraId="13662728"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6,4</w:t>
            </w:r>
          </w:p>
        </w:tc>
      </w:tr>
      <w:tr w:rsidR="00342280" w:rsidRPr="00AC1907" w14:paraId="60BCC883"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78B04B76"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Πορτογαλία</w:t>
            </w:r>
          </w:p>
        </w:tc>
        <w:tc>
          <w:tcPr>
            <w:tcW w:w="1276" w:type="dxa"/>
            <w:noWrap/>
            <w:hideMark/>
          </w:tcPr>
          <w:p w14:paraId="1E4BE5D4"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6,4</w:t>
            </w:r>
          </w:p>
        </w:tc>
      </w:tr>
      <w:tr w:rsidR="00342280" w:rsidRPr="00AC1907" w14:paraId="0E8AAF02"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456522E8"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Πολωνία</w:t>
            </w:r>
          </w:p>
        </w:tc>
        <w:tc>
          <w:tcPr>
            <w:tcW w:w="1276" w:type="dxa"/>
            <w:noWrap/>
            <w:hideMark/>
          </w:tcPr>
          <w:p w14:paraId="53F8E58A"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5,8</w:t>
            </w:r>
          </w:p>
        </w:tc>
      </w:tr>
      <w:tr w:rsidR="00342280" w:rsidRPr="00AC1907" w14:paraId="69FAB57E" w14:textId="77777777" w:rsidTr="009C70A5">
        <w:trPr>
          <w:trHeight w:val="330"/>
        </w:trPr>
        <w:tc>
          <w:tcPr>
            <w:cnfStyle w:val="001000000000" w:firstRow="0" w:lastRow="0" w:firstColumn="1" w:lastColumn="0" w:oddVBand="0" w:evenVBand="0" w:oddHBand="0" w:evenHBand="0" w:firstRowFirstColumn="0" w:firstRowLastColumn="0" w:lastRowFirstColumn="0" w:lastRowLastColumn="0"/>
            <w:tcW w:w="5387" w:type="dxa"/>
            <w:noWrap/>
            <w:hideMark/>
          </w:tcPr>
          <w:p w14:paraId="7968AB53" w14:textId="77777777" w:rsidR="00342280" w:rsidRPr="00AC1907" w:rsidRDefault="00342280" w:rsidP="009C70A5">
            <w:pPr>
              <w:spacing w:line="240" w:lineRule="auto"/>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Ολλανδία</w:t>
            </w:r>
          </w:p>
        </w:tc>
        <w:tc>
          <w:tcPr>
            <w:tcW w:w="1276" w:type="dxa"/>
            <w:noWrap/>
            <w:hideMark/>
          </w:tcPr>
          <w:p w14:paraId="3F8199EB" w14:textId="77777777" w:rsidR="00342280" w:rsidRPr="00AC1907" w:rsidRDefault="00342280" w:rsidP="009C70A5">
            <w:pPr>
              <w:spacing w:line="240" w:lineRule="auto"/>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4,6</w:t>
            </w:r>
          </w:p>
        </w:tc>
      </w:tr>
    </w:tbl>
    <w:p w14:paraId="38C15A0F" w14:textId="77777777" w:rsidR="00342280" w:rsidRPr="00AC1907" w:rsidRDefault="00342280" w:rsidP="00342280">
      <w:pPr>
        <w:rPr>
          <w:rFonts w:ascii="Constantia" w:hAnsi="Constantia"/>
          <w:b/>
          <w:bCs/>
          <w:lang w:val="el-GR"/>
        </w:rPr>
      </w:pPr>
    </w:p>
    <w:p w14:paraId="6CA8CDE9" w14:textId="77777777" w:rsidR="00342280" w:rsidRPr="00AC1907" w:rsidRDefault="00342280" w:rsidP="00BB1D26">
      <w:pPr>
        <w:jc w:val="center"/>
        <w:rPr>
          <w:rFonts w:ascii="Constantia" w:hAnsi="Constantia"/>
          <w:b/>
          <w:bCs/>
          <w:lang w:val="el-GR"/>
        </w:rPr>
      </w:pPr>
      <w:r w:rsidRPr="00BB1D26">
        <w:rPr>
          <w:rFonts w:ascii="Constantia" w:hAnsi="Constantia"/>
          <w:b/>
          <w:bCs/>
          <w:color w:val="134163" w:themeColor="accent2" w:themeShade="80"/>
          <w:lang w:val="el-GR"/>
        </w:rPr>
        <w:t>Υπερβολική επιβάρυνση από το κόστος στέγασης (Housing cost overburden rate)</w:t>
      </w:r>
    </w:p>
    <w:p w14:paraId="22F04308" w14:textId="77777777" w:rsidR="00342280" w:rsidRPr="00A63CF4" w:rsidRDefault="00342280" w:rsidP="00A63CF4">
      <w:pPr>
        <w:pStyle w:val="af3"/>
        <w:spacing w:after="200"/>
        <w:ind w:left="0"/>
        <w:contextualSpacing w:val="0"/>
        <w:jc w:val="both"/>
        <w:rPr>
          <w:sz w:val="24"/>
          <w:szCs w:val="24"/>
          <w:lang w:val="el-GR"/>
        </w:rPr>
      </w:pPr>
      <w:r w:rsidRPr="00A63CF4">
        <w:rPr>
          <w:sz w:val="24"/>
          <w:szCs w:val="24"/>
          <w:lang w:val="el-GR"/>
        </w:rPr>
        <w:t xml:space="preserve">Παρόμοια εικόνα, με την Ελλάδα να αποτελεί αρνητική εξαίρεση στις χώρες της ΕΕ, προκύπτει και από την εξέταση του δείκτη «Υπερβολική επιβάρυνση από το κόστος στέγασης».  Ο δείκτης αποτυπώνει το ποσοστό του πληθυσμού που ζει σε νοικοκυριά όπου το συνολικό κόστος στέγασης αντιπροσωπεύει περισσότερο από το 40 % του διαθέσιμου εισοδήματος. Το 1/3 των ατόμων με αναπηρία στην Ελλάδα ζουν σε νοικοκυριά με υπερβολική επιβάρυνση από το κόστος στέγασης, ποσοστό πολύ υψηλότερο από το δεύτερο υψηλότερο (Δανία: 21,2) και υπερτριπλάσιο από το ευρωπαϊκό. </w:t>
      </w:r>
    </w:p>
    <w:p w14:paraId="7B5175D3" w14:textId="2C1A4B33" w:rsidR="00BB1D26" w:rsidRPr="00BB1D26" w:rsidRDefault="00BB1D26" w:rsidP="00BB1D26">
      <w:pPr>
        <w:pStyle w:val="a5"/>
        <w:ind w:left="567" w:right="565"/>
        <w:jc w:val="center"/>
        <w:rPr>
          <w:rFonts w:asciiTheme="majorHAnsi" w:hAnsiTheme="majorHAnsi" w:cstheme="majorHAnsi"/>
          <w:b/>
          <w:bCs/>
          <w:i w:val="0"/>
          <w:iCs w:val="0"/>
          <w:color w:val="487B77" w:themeColor="accent6" w:themeShade="BF"/>
          <w:sz w:val="24"/>
          <w:szCs w:val="24"/>
          <w:lang w:val="el-GR"/>
        </w:rPr>
      </w:pPr>
      <w:bookmarkStart w:id="14" w:name="_Toc209430790"/>
      <w:r w:rsidRPr="00BB1D26">
        <w:rPr>
          <w:rFonts w:asciiTheme="majorHAnsi" w:hAnsiTheme="majorHAnsi" w:cstheme="majorHAnsi"/>
          <w:b/>
          <w:bCs/>
          <w:i w:val="0"/>
          <w:iCs w:val="0"/>
          <w:color w:val="487B77" w:themeColor="accent6" w:themeShade="BF"/>
          <w:sz w:val="24"/>
          <w:szCs w:val="24"/>
          <w:lang w:val="el-GR"/>
        </w:rPr>
        <w:t xml:space="preserve">Πίνακας </w:t>
      </w:r>
      <w:r w:rsidRPr="00BB1D26">
        <w:rPr>
          <w:rFonts w:asciiTheme="majorHAnsi" w:hAnsiTheme="majorHAnsi" w:cstheme="majorHAnsi"/>
          <w:b/>
          <w:bCs/>
          <w:i w:val="0"/>
          <w:iCs w:val="0"/>
          <w:color w:val="487B77" w:themeColor="accent6" w:themeShade="BF"/>
          <w:sz w:val="24"/>
          <w:szCs w:val="24"/>
          <w:lang w:val="el-GR"/>
        </w:rPr>
        <w:fldChar w:fldCharType="begin"/>
      </w:r>
      <w:r w:rsidRPr="00BB1D26">
        <w:rPr>
          <w:rFonts w:asciiTheme="majorHAnsi" w:hAnsiTheme="majorHAnsi" w:cstheme="majorHAnsi"/>
          <w:b/>
          <w:bCs/>
          <w:i w:val="0"/>
          <w:iCs w:val="0"/>
          <w:color w:val="487B77" w:themeColor="accent6" w:themeShade="BF"/>
          <w:sz w:val="24"/>
          <w:szCs w:val="24"/>
          <w:lang w:val="el-GR"/>
        </w:rPr>
        <w:instrText xml:space="preserve"> SEQ Πίνακας \* ARABIC </w:instrText>
      </w:r>
      <w:r w:rsidRPr="00BB1D26">
        <w:rPr>
          <w:rFonts w:asciiTheme="majorHAnsi" w:hAnsiTheme="majorHAnsi" w:cstheme="majorHAnsi"/>
          <w:b/>
          <w:bCs/>
          <w:i w:val="0"/>
          <w:iCs w:val="0"/>
          <w:color w:val="487B77" w:themeColor="accent6" w:themeShade="BF"/>
          <w:sz w:val="24"/>
          <w:szCs w:val="24"/>
          <w:lang w:val="el-GR"/>
        </w:rPr>
        <w:fldChar w:fldCharType="separate"/>
      </w:r>
      <w:r w:rsidR="00C761A3">
        <w:rPr>
          <w:rFonts w:asciiTheme="majorHAnsi" w:hAnsiTheme="majorHAnsi" w:cstheme="majorHAnsi"/>
          <w:b/>
          <w:bCs/>
          <w:i w:val="0"/>
          <w:iCs w:val="0"/>
          <w:noProof/>
          <w:color w:val="487B77" w:themeColor="accent6" w:themeShade="BF"/>
          <w:sz w:val="24"/>
          <w:szCs w:val="24"/>
          <w:lang w:val="el-GR"/>
        </w:rPr>
        <w:t>3</w:t>
      </w:r>
      <w:r w:rsidRPr="00BB1D26">
        <w:rPr>
          <w:rFonts w:asciiTheme="majorHAnsi" w:hAnsiTheme="majorHAnsi" w:cstheme="majorHAnsi"/>
          <w:b/>
          <w:bCs/>
          <w:i w:val="0"/>
          <w:iCs w:val="0"/>
          <w:color w:val="487B77" w:themeColor="accent6" w:themeShade="BF"/>
          <w:sz w:val="24"/>
          <w:szCs w:val="24"/>
          <w:lang w:val="el-GR"/>
        </w:rPr>
        <w:fldChar w:fldCharType="end"/>
      </w:r>
      <w:r w:rsidRPr="00BB1D26">
        <w:rPr>
          <w:rFonts w:asciiTheme="majorHAnsi" w:hAnsiTheme="majorHAnsi" w:cstheme="majorHAnsi"/>
          <w:b/>
          <w:bCs/>
          <w:i w:val="0"/>
          <w:iCs w:val="0"/>
          <w:color w:val="487B77" w:themeColor="accent6" w:themeShade="BF"/>
          <w:sz w:val="24"/>
          <w:szCs w:val="24"/>
          <w:lang w:val="el-GR"/>
        </w:rPr>
        <w:t>: Ποσοστό ατόμων με αναπηρία 16 ετών και άνω και υπερβολική επιβάρυνση από το κόστος στέγασης στις χώρες της ΕΕ-27 (</w:t>
      </w:r>
      <w:r>
        <w:rPr>
          <w:rFonts w:asciiTheme="majorHAnsi" w:hAnsiTheme="majorHAnsi" w:cstheme="majorHAnsi"/>
          <w:b/>
          <w:bCs/>
          <w:i w:val="0"/>
          <w:iCs w:val="0"/>
          <w:color w:val="487B77" w:themeColor="accent6" w:themeShade="BF"/>
          <w:sz w:val="24"/>
          <w:szCs w:val="24"/>
        </w:rPr>
        <w:t>Eurostat</w:t>
      </w:r>
      <w:r w:rsidRPr="00BB1D26">
        <w:rPr>
          <w:rFonts w:asciiTheme="majorHAnsi" w:hAnsiTheme="majorHAnsi" w:cstheme="majorHAnsi"/>
          <w:b/>
          <w:bCs/>
          <w:i w:val="0"/>
          <w:iCs w:val="0"/>
          <w:color w:val="487B77" w:themeColor="accent6" w:themeShade="BF"/>
          <w:sz w:val="24"/>
          <w:szCs w:val="24"/>
          <w:lang w:val="el-GR"/>
        </w:rPr>
        <w:t>, 2024)</w:t>
      </w:r>
      <w:bookmarkEnd w:id="14"/>
    </w:p>
    <w:tbl>
      <w:tblPr>
        <w:tblStyle w:val="1-20"/>
        <w:tblW w:w="7844" w:type="dxa"/>
        <w:tblLook w:val="04A0" w:firstRow="1" w:lastRow="0" w:firstColumn="1" w:lastColumn="0" w:noHBand="0" w:noVBand="1"/>
      </w:tblPr>
      <w:tblGrid>
        <w:gridCol w:w="6778"/>
        <w:gridCol w:w="1066"/>
      </w:tblGrid>
      <w:tr w:rsidR="00342280" w:rsidRPr="00AC1907" w14:paraId="5508295F" w14:textId="77777777" w:rsidTr="00AC553A">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650F97B0"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Ελλάδα</w:t>
            </w:r>
          </w:p>
        </w:tc>
        <w:tc>
          <w:tcPr>
            <w:tcW w:w="1066" w:type="dxa"/>
            <w:noWrap/>
            <w:hideMark/>
          </w:tcPr>
          <w:p w14:paraId="223B390B" w14:textId="77777777" w:rsidR="00342280" w:rsidRPr="00AC1907" w:rsidRDefault="00342280" w:rsidP="007E0A30">
            <w:pPr>
              <w:jc w:val="right"/>
              <w:cnfStyle w:val="100000000000" w:firstRow="1"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33</w:t>
            </w:r>
          </w:p>
        </w:tc>
      </w:tr>
      <w:tr w:rsidR="00342280" w:rsidRPr="00AC1907" w14:paraId="046384C3"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3527FB34"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Δανία</w:t>
            </w:r>
          </w:p>
        </w:tc>
        <w:tc>
          <w:tcPr>
            <w:tcW w:w="1066" w:type="dxa"/>
            <w:noWrap/>
            <w:hideMark/>
          </w:tcPr>
          <w:p w14:paraId="59DCBDA0"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21,2</w:t>
            </w:r>
          </w:p>
        </w:tc>
      </w:tr>
      <w:tr w:rsidR="00342280" w:rsidRPr="00AC1907" w14:paraId="10553997"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78E8D3F3"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Σουηδία</w:t>
            </w:r>
          </w:p>
        </w:tc>
        <w:tc>
          <w:tcPr>
            <w:tcW w:w="1066" w:type="dxa"/>
            <w:noWrap/>
            <w:hideMark/>
          </w:tcPr>
          <w:p w14:paraId="17180A70"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17,5</w:t>
            </w:r>
          </w:p>
        </w:tc>
      </w:tr>
      <w:tr w:rsidR="00342280" w:rsidRPr="00AC1907" w14:paraId="33204CA2"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308F1399"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Γερμανία</w:t>
            </w:r>
          </w:p>
        </w:tc>
        <w:tc>
          <w:tcPr>
            <w:tcW w:w="1066" w:type="dxa"/>
            <w:noWrap/>
            <w:hideMark/>
          </w:tcPr>
          <w:p w14:paraId="7BEFA1D4"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15,2</w:t>
            </w:r>
          </w:p>
        </w:tc>
      </w:tr>
      <w:tr w:rsidR="00342280" w:rsidRPr="00AC1907" w14:paraId="64AEA6CF"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7928BE30"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Ουγγαρία</w:t>
            </w:r>
          </w:p>
        </w:tc>
        <w:tc>
          <w:tcPr>
            <w:tcW w:w="1066" w:type="dxa"/>
            <w:noWrap/>
            <w:hideMark/>
          </w:tcPr>
          <w:p w14:paraId="2B152163"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13,2</w:t>
            </w:r>
          </w:p>
        </w:tc>
      </w:tr>
      <w:tr w:rsidR="00342280" w:rsidRPr="00AC1907" w14:paraId="52887B67"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1B4236DB"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Βέλγιο</w:t>
            </w:r>
          </w:p>
        </w:tc>
        <w:tc>
          <w:tcPr>
            <w:tcW w:w="1066" w:type="dxa"/>
            <w:noWrap/>
            <w:hideMark/>
          </w:tcPr>
          <w:p w14:paraId="563F395D"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12</w:t>
            </w:r>
          </w:p>
        </w:tc>
      </w:tr>
      <w:tr w:rsidR="00342280" w:rsidRPr="00AC1907" w14:paraId="65D33C01"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58F2F75B"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Τσεχία</w:t>
            </w:r>
          </w:p>
        </w:tc>
        <w:tc>
          <w:tcPr>
            <w:tcW w:w="1066" w:type="dxa"/>
            <w:noWrap/>
            <w:hideMark/>
          </w:tcPr>
          <w:p w14:paraId="7C084F32"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11,3</w:t>
            </w:r>
          </w:p>
        </w:tc>
      </w:tr>
      <w:tr w:rsidR="00342280" w:rsidRPr="00AC1907" w14:paraId="2CF3891F"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73B1E287"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Εσθονία</w:t>
            </w:r>
          </w:p>
        </w:tc>
        <w:tc>
          <w:tcPr>
            <w:tcW w:w="1066" w:type="dxa"/>
            <w:noWrap/>
            <w:hideMark/>
          </w:tcPr>
          <w:p w14:paraId="0A4C5207"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11,2</w:t>
            </w:r>
          </w:p>
        </w:tc>
      </w:tr>
      <w:tr w:rsidR="00342280" w:rsidRPr="00AC1907" w14:paraId="514E1344"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15E0350B" w14:textId="77777777" w:rsidR="00342280" w:rsidRPr="00AC1907" w:rsidRDefault="00342280" w:rsidP="007E0A30">
            <w:pPr>
              <w:rPr>
                <w:rFonts w:ascii="Constantia" w:eastAsia="Times New Roman" w:hAnsi="Constantia" w:cs="Times New Roman"/>
                <w:color w:val="000000"/>
                <w:kern w:val="0"/>
                <w:lang w:val="el-GR" w:eastAsia="de-DE"/>
                <w14:ligatures w14:val="none"/>
              </w:rPr>
            </w:pPr>
            <w:r w:rsidRPr="00AC1907">
              <w:rPr>
                <w:rFonts w:ascii="Constantia" w:eastAsia="Times New Roman" w:hAnsi="Constantia" w:cs="Times New Roman"/>
                <w:color w:val="000000"/>
                <w:kern w:val="0"/>
                <w:lang w:val="el-GR" w:eastAsia="de-DE"/>
                <w14:ligatures w14:val="none"/>
              </w:rPr>
              <w:t>Ευρωπαϊκή Ένωση - 27 χώρες (από το 2020)</w:t>
            </w:r>
          </w:p>
        </w:tc>
        <w:tc>
          <w:tcPr>
            <w:tcW w:w="1066" w:type="dxa"/>
            <w:noWrap/>
            <w:hideMark/>
          </w:tcPr>
          <w:p w14:paraId="555FA51C"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10,4</w:t>
            </w:r>
          </w:p>
        </w:tc>
      </w:tr>
      <w:tr w:rsidR="00342280" w:rsidRPr="00AC1907" w14:paraId="5B5F90E1"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3B45E75A"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Βουλγαρία</w:t>
            </w:r>
          </w:p>
        </w:tc>
        <w:tc>
          <w:tcPr>
            <w:tcW w:w="1066" w:type="dxa"/>
            <w:noWrap/>
            <w:hideMark/>
          </w:tcPr>
          <w:p w14:paraId="03C944C3"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10,1</w:t>
            </w:r>
          </w:p>
        </w:tc>
      </w:tr>
      <w:tr w:rsidR="00342280" w:rsidRPr="00AC1907" w14:paraId="1BA51B7D"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7C45EFBC"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Γαλλία</w:t>
            </w:r>
          </w:p>
        </w:tc>
        <w:tc>
          <w:tcPr>
            <w:tcW w:w="1066" w:type="dxa"/>
            <w:noWrap/>
            <w:hideMark/>
          </w:tcPr>
          <w:p w14:paraId="220B03FF"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9,5</w:t>
            </w:r>
          </w:p>
        </w:tc>
      </w:tr>
      <w:tr w:rsidR="00342280" w:rsidRPr="00AC1907" w14:paraId="191A308B"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281C59B0"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Λιθουανία</w:t>
            </w:r>
          </w:p>
        </w:tc>
        <w:tc>
          <w:tcPr>
            <w:tcW w:w="1066" w:type="dxa"/>
            <w:noWrap/>
            <w:hideMark/>
          </w:tcPr>
          <w:p w14:paraId="62A96F28"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9,2</w:t>
            </w:r>
          </w:p>
        </w:tc>
      </w:tr>
      <w:tr w:rsidR="00342280" w:rsidRPr="00AC1907" w14:paraId="5C70EA72"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1CC50443"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Λετονία</w:t>
            </w:r>
          </w:p>
        </w:tc>
        <w:tc>
          <w:tcPr>
            <w:tcW w:w="1066" w:type="dxa"/>
            <w:noWrap/>
            <w:hideMark/>
          </w:tcPr>
          <w:p w14:paraId="4D4147EB"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8,9</w:t>
            </w:r>
          </w:p>
        </w:tc>
      </w:tr>
      <w:tr w:rsidR="00342280" w:rsidRPr="00AC1907" w14:paraId="4B913F41"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72DEFCB7"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Αυστρία</w:t>
            </w:r>
          </w:p>
        </w:tc>
        <w:tc>
          <w:tcPr>
            <w:tcW w:w="1066" w:type="dxa"/>
            <w:noWrap/>
            <w:hideMark/>
          </w:tcPr>
          <w:p w14:paraId="6F91E87F"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7,8</w:t>
            </w:r>
          </w:p>
        </w:tc>
      </w:tr>
      <w:tr w:rsidR="00342280" w:rsidRPr="00AC1907" w14:paraId="20CBC0F6"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1E3488D7"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Ισπανία</w:t>
            </w:r>
          </w:p>
        </w:tc>
        <w:tc>
          <w:tcPr>
            <w:tcW w:w="1066" w:type="dxa"/>
            <w:noWrap/>
            <w:hideMark/>
          </w:tcPr>
          <w:p w14:paraId="60726CFB"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7,5</w:t>
            </w:r>
          </w:p>
        </w:tc>
      </w:tr>
      <w:tr w:rsidR="00342280" w:rsidRPr="00AC1907" w14:paraId="5968B06E"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43B666CC"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Ολλανδία</w:t>
            </w:r>
          </w:p>
        </w:tc>
        <w:tc>
          <w:tcPr>
            <w:tcW w:w="1066" w:type="dxa"/>
            <w:noWrap/>
            <w:hideMark/>
          </w:tcPr>
          <w:p w14:paraId="47927A3F"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7,1</w:t>
            </w:r>
          </w:p>
        </w:tc>
      </w:tr>
      <w:tr w:rsidR="00342280" w:rsidRPr="00AC1907" w14:paraId="185E0090"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20455B3B"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Πολωνία</w:t>
            </w:r>
          </w:p>
        </w:tc>
        <w:tc>
          <w:tcPr>
            <w:tcW w:w="1066" w:type="dxa"/>
            <w:noWrap/>
            <w:hideMark/>
          </w:tcPr>
          <w:p w14:paraId="1FC9B629"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6,8</w:t>
            </w:r>
          </w:p>
        </w:tc>
      </w:tr>
      <w:tr w:rsidR="00342280" w:rsidRPr="00AC1907" w14:paraId="7D54DF07"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69485A98"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Φινλανδία</w:t>
            </w:r>
          </w:p>
        </w:tc>
        <w:tc>
          <w:tcPr>
            <w:tcW w:w="1066" w:type="dxa"/>
            <w:noWrap/>
            <w:hideMark/>
          </w:tcPr>
          <w:p w14:paraId="17C86199"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6,5</w:t>
            </w:r>
          </w:p>
        </w:tc>
      </w:tr>
      <w:tr w:rsidR="00342280" w:rsidRPr="00AC1907" w14:paraId="7B913C65"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3BFD1571"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lastRenderedPageBreak/>
              <w:t>Πορτογαλία</w:t>
            </w:r>
          </w:p>
        </w:tc>
        <w:tc>
          <w:tcPr>
            <w:tcW w:w="1066" w:type="dxa"/>
            <w:noWrap/>
            <w:hideMark/>
          </w:tcPr>
          <w:p w14:paraId="772C5A4D"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6,1</w:t>
            </w:r>
          </w:p>
        </w:tc>
      </w:tr>
      <w:tr w:rsidR="00342280" w:rsidRPr="00AC1907" w14:paraId="529234BD"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0DC6FBC9"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Κροατία</w:t>
            </w:r>
          </w:p>
        </w:tc>
        <w:tc>
          <w:tcPr>
            <w:tcW w:w="1066" w:type="dxa"/>
            <w:noWrap/>
            <w:hideMark/>
          </w:tcPr>
          <w:p w14:paraId="25B602B2"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6</w:t>
            </w:r>
          </w:p>
        </w:tc>
      </w:tr>
      <w:tr w:rsidR="00342280" w:rsidRPr="00AC1907" w14:paraId="65F31649"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4DFE1AD7"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Σλοβακία</w:t>
            </w:r>
          </w:p>
        </w:tc>
        <w:tc>
          <w:tcPr>
            <w:tcW w:w="1066" w:type="dxa"/>
            <w:noWrap/>
            <w:hideMark/>
          </w:tcPr>
          <w:p w14:paraId="28587E54"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6</w:t>
            </w:r>
          </w:p>
        </w:tc>
      </w:tr>
      <w:tr w:rsidR="00342280" w:rsidRPr="00AC1907" w14:paraId="63CF4C97"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39AACA15"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Μάλτα</w:t>
            </w:r>
          </w:p>
        </w:tc>
        <w:tc>
          <w:tcPr>
            <w:tcW w:w="1066" w:type="dxa"/>
            <w:noWrap/>
            <w:hideMark/>
          </w:tcPr>
          <w:p w14:paraId="6817601E"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5,6</w:t>
            </w:r>
          </w:p>
        </w:tc>
      </w:tr>
      <w:tr w:rsidR="00342280" w:rsidRPr="00AC1907" w14:paraId="37530507"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22BA3A10"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Σλοβενία</w:t>
            </w:r>
          </w:p>
        </w:tc>
        <w:tc>
          <w:tcPr>
            <w:tcW w:w="1066" w:type="dxa"/>
            <w:noWrap/>
            <w:hideMark/>
          </w:tcPr>
          <w:p w14:paraId="5D523F4B"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5,5</w:t>
            </w:r>
          </w:p>
        </w:tc>
      </w:tr>
      <w:tr w:rsidR="00342280" w:rsidRPr="00AC1907" w14:paraId="47D50BA2"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06F49CC9"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Ιταλία</w:t>
            </w:r>
          </w:p>
        </w:tc>
        <w:tc>
          <w:tcPr>
            <w:tcW w:w="1066" w:type="dxa"/>
            <w:noWrap/>
            <w:hideMark/>
          </w:tcPr>
          <w:p w14:paraId="712F8A2E"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5,4</w:t>
            </w:r>
          </w:p>
        </w:tc>
      </w:tr>
      <w:tr w:rsidR="00342280" w:rsidRPr="00AC1907" w14:paraId="01EFBEBB"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532C28AE"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Ρουμανία</w:t>
            </w:r>
          </w:p>
        </w:tc>
        <w:tc>
          <w:tcPr>
            <w:tcW w:w="1066" w:type="dxa"/>
            <w:noWrap/>
            <w:hideMark/>
          </w:tcPr>
          <w:p w14:paraId="60218B74"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4,7</w:t>
            </w:r>
          </w:p>
        </w:tc>
      </w:tr>
      <w:tr w:rsidR="00342280" w:rsidRPr="00AC1907" w14:paraId="2FB8BBA5"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6574BA63"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Ιρλανδία</w:t>
            </w:r>
          </w:p>
        </w:tc>
        <w:tc>
          <w:tcPr>
            <w:tcW w:w="1066" w:type="dxa"/>
            <w:noWrap/>
            <w:hideMark/>
          </w:tcPr>
          <w:p w14:paraId="4A1F597C"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2,9</w:t>
            </w:r>
          </w:p>
        </w:tc>
      </w:tr>
      <w:tr w:rsidR="00342280" w:rsidRPr="00AC1907" w14:paraId="4B20F0BB" w14:textId="77777777" w:rsidTr="00AC553A">
        <w:trPr>
          <w:trHeight w:val="268"/>
        </w:trPr>
        <w:tc>
          <w:tcPr>
            <w:cnfStyle w:val="001000000000" w:firstRow="0" w:lastRow="0" w:firstColumn="1" w:lastColumn="0" w:oddVBand="0" w:evenVBand="0" w:oddHBand="0" w:evenHBand="0" w:firstRowFirstColumn="0" w:firstRowLastColumn="0" w:lastRowFirstColumn="0" w:lastRowLastColumn="0"/>
            <w:tcW w:w="6778" w:type="dxa"/>
            <w:noWrap/>
            <w:hideMark/>
          </w:tcPr>
          <w:p w14:paraId="5D037B5C" w14:textId="77777777" w:rsidR="00342280" w:rsidRPr="00AC1907" w:rsidRDefault="00342280" w:rsidP="007E0A30">
            <w:pPr>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Κύπρος</w:t>
            </w:r>
          </w:p>
        </w:tc>
        <w:tc>
          <w:tcPr>
            <w:tcW w:w="1066" w:type="dxa"/>
            <w:noWrap/>
            <w:hideMark/>
          </w:tcPr>
          <w:p w14:paraId="69A07121" w14:textId="77777777" w:rsidR="00342280" w:rsidRPr="00AC1907" w:rsidRDefault="00342280" w:rsidP="007E0A30">
            <w:pPr>
              <w:jc w:val="right"/>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000000"/>
                <w:kern w:val="0"/>
                <w:lang w:eastAsia="de-DE"/>
                <w14:ligatures w14:val="none"/>
              </w:rPr>
            </w:pPr>
            <w:r w:rsidRPr="00AC1907">
              <w:rPr>
                <w:rFonts w:ascii="Constantia" w:eastAsia="Times New Roman" w:hAnsi="Constantia" w:cs="Times New Roman"/>
                <w:color w:val="000000"/>
                <w:kern w:val="0"/>
                <w:lang w:eastAsia="de-DE"/>
                <w14:ligatures w14:val="none"/>
              </w:rPr>
              <w:t>2</w:t>
            </w:r>
          </w:p>
        </w:tc>
      </w:tr>
    </w:tbl>
    <w:p w14:paraId="49C0056F" w14:textId="77777777" w:rsidR="00342280" w:rsidRPr="00AC1907" w:rsidRDefault="00342280" w:rsidP="00342280">
      <w:pPr>
        <w:rPr>
          <w:rFonts w:ascii="Constantia" w:hAnsi="Constantia"/>
          <w:lang w:val="el-GR"/>
        </w:rPr>
      </w:pPr>
    </w:p>
    <w:p w14:paraId="722BF2DE" w14:textId="77777777" w:rsidR="003D3956" w:rsidRPr="003D3956" w:rsidRDefault="003D3956" w:rsidP="003D3956">
      <w:pPr>
        <w:jc w:val="center"/>
        <w:rPr>
          <w:lang w:val="el-GR"/>
        </w:rPr>
      </w:pPr>
    </w:p>
    <w:p w14:paraId="2A45BE32" w14:textId="77777777" w:rsidR="003677F5" w:rsidRDefault="003677F5" w:rsidP="003677F5">
      <w:pPr>
        <w:ind w:left="567"/>
        <w:rPr>
          <w:lang w:val="el-GR"/>
        </w:rPr>
      </w:pPr>
      <w:r w:rsidRPr="00B07861">
        <w:rPr>
          <w:lang w:val="el-GR"/>
        </w:rPr>
        <w:br w:type="page"/>
      </w:r>
    </w:p>
    <w:p w14:paraId="58E461FC" w14:textId="0C32A6FB" w:rsidR="00A63CF4" w:rsidRDefault="00A63CF4" w:rsidP="00A63CF4">
      <w:pPr>
        <w:pStyle w:val="2"/>
        <w:spacing w:before="360" w:after="480"/>
        <w:ind w:left="578" w:right="-142" w:hanging="578"/>
        <w:jc w:val="left"/>
        <w:rPr>
          <w:rFonts w:asciiTheme="minorHAnsi" w:hAnsiTheme="minorHAnsi" w:cstheme="minorHAnsi"/>
          <w:color w:val="auto"/>
        </w:rPr>
      </w:pPr>
      <w:bookmarkStart w:id="15" w:name="_Toc209427142"/>
      <w:r w:rsidRPr="00A63CF4">
        <w:rPr>
          <w:rFonts w:asciiTheme="minorHAnsi" w:hAnsiTheme="minorHAnsi" w:cstheme="minorHAnsi"/>
          <w:color w:val="auto"/>
        </w:rPr>
        <w:lastRenderedPageBreak/>
        <w:t>Εργασιακός αποκλεισμός ατόμων με αναπηρία</w:t>
      </w:r>
      <w:bookmarkEnd w:id="15"/>
    </w:p>
    <w:p w14:paraId="13CE986C" w14:textId="3CADD74E" w:rsidR="00A63CF4" w:rsidRPr="00A63CF4" w:rsidRDefault="00A63CF4" w:rsidP="00A63CF4">
      <w:pPr>
        <w:pStyle w:val="af3"/>
        <w:spacing w:after="200"/>
        <w:ind w:left="0"/>
        <w:contextualSpacing w:val="0"/>
        <w:jc w:val="both"/>
        <w:rPr>
          <w:sz w:val="24"/>
          <w:szCs w:val="24"/>
          <w:lang w:val="el-GR"/>
        </w:rPr>
      </w:pPr>
      <w:r w:rsidRPr="00A63CF4">
        <w:rPr>
          <w:sz w:val="24"/>
          <w:szCs w:val="24"/>
          <w:lang w:val="el-GR"/>
        </w:rPr>
        <w:t>Ο τομέας της απασχόλησης αποτελεί κατεξοχήν πεδίο διακρίσεων και εμποδίων σε βάρος των ατόμων με αναπηρία. Στην Ελλάδα τα ποσοστά απασχολούμενων ατόμων με αναπηρία βρίσκονται διαχρονικά στα κατώτερα επίπεδα της ΕΕ. Στο παρόν δελτίο επικεντρωνόμαστε στον δείκτη συμμετοχής στο εργατικό δυναμικό ο οποίος ενέχει αυξημένη βαρύτητα ενδεικτικά με την υφιστάμενη κατάσταση στο πεδίο της απασχόλησης, καθώς, η συντριπτική πλειονότητα των ατόμων με αναπηρία στην Ελλάδα όχι μόνο δεν έχει ενταχθεί εργασιακά, αλλά στην πραγματικότητα βρίσκεται εκτός εργατικού δυναμικού, χωρίς δηλαδή να καταγράφεται παρότι δεν εργάζεται, στην ομάδα των ανέργων.  Πιο αναλυτικά, καθώς ο πληθυσμός των ατόμων με αναπηρία βιώνει εκτεταμένο αποκλεισμό και σοβαρούς φραγμούς στο πεδίο της απασχόλησης, η πλειονότητα των ατόμων με αναπηρία ακόμα και όταν δεν εργάζονται, συνήθως λόγω απογοήτευσης, δεν αναζητούν ενεργά εργασία “discouraged job seekers”. Ωστόσο, αυτή η ιδιάζουσα συνθήκη μη καταγεγραμμένης ανεργίας αποτελεί απόρροια και της άδικης νομοθετικής διάταξης η οποία διακόπτει τη λήψη αναπηρικών επιδομάτων σε περίπτωση εργασίας.</w:t>
      </w:r>
    </w:p>
    <w:p w14:paraId="77BA23B3" w14:textId="77777777" w:rsidR="00A63CF4" w:rsidRPr="00A63CF4" w:rsidRDefault="00A63CF4" w:rsidP="00A63CF4">
      <w:pPr>
        <w:pStyle w:val="af3"/>
        <w:spacing w:after="200"/>
        <w:ind w:left="0"/>
        <w:contextualSpacing w:val="0"/>
        <w:jc w:val="both"/>
        <w:rPr>
          <w:sz w:val="24"/>
          <w:szCs w:val="24"/>
          <w:lang w:val="el-GR"/>
        </w:rPr>
      </w:pPr>
      <w:r w:rsidRPr="00A63CF4">
        <w:rPr>
          <w:sz w:val="24"/>
          <w:szCs w:val="24"/>
          <w:lang w:val="el-GR"/>
        </w:rPr>
        <w:t xml:space="preserve">Απόρροια των παραπάνω στο επίπεδο των στατιστικών μετρήσεων, αποτελεί η σχετικά χαμηλή καταγραφή της ανεργίας η οποία δεν απεικονίζει τον πραγματικό αποκλεισμό των ατόμων με αναπηρία από το πεδίο της απασχόλησης. </w:t>
      </w:r>
    </w:p>
    <w:p w14:paraId="3AF87A45" w14:textId="77777777" w:rsidR="00A63CF4" w:rsidRPr="00A63CF4" w:rsidRDefault="00A63CF4" w:rsidP="00A63CF4">
      <w:pPr>
        <w:pStyle w:val="af3"/>
        <w:spacing w:after="200"/>
        <w:ind w:left="0"/>
        <w:contextualSpacing w:val="0"/>
        <w:jc w:val="both"/>
        <w:rPr>
          <w:sz w:val="24"/>
          <w:szCs w:val="24"/>
          <w:lang w:val="el-GR"/>
        </w:rPr>
      </w:pPr>
      <w:r w:rsidRPr="00A63CF4">
        <w:rPr>
          <w:sz w:val="24"/>
          <w:szCs w:val="24"/>
          <w:lang w:val="el-GR"/>
        </w:rPr>
        <w:t xml:space="preserve">Ο δείκτης συμμετοχής στο εργατικό δυναμικό αποτυπώνει το ποσοστό των ατόμων εργάσιμης ηλικίας που ανήκουν στον οικονομικά ενεργό πληθυσμό, είτε με την ιδιότητα των απασχολούμενων είτε με την ιδιότητα των ανέργων, ένα μέγεθος δηλαδή που αποκαλύπτει όλο το εύρος του αποκλεισμού στο πεδίο της εργασίας/απασχόλησης. </w:t>
      </w:r>
    </w:p>
    <w:p w14:paraId="7E81AC0F" w14:textId="3A164CA2" w:rsidR="00A63CF4" w:rsidRPr="00CC13E9" w:rsidRDefault="00A63CF4" w:rsidP="00CC13E9">
      <w:pPr>
        <w:pStyle w:val="a5"/>
        <w:ind w:left="567" w:right="565"/>
        <w:jc w:val="center"/>
        <w:rPr>
          <w:rFonts w:asciiTheme="majorHAnsi" w:hAnsiTheme="majorHAnsi" w:cstheme="majorHAnsi"/>
          <w:b/>
          <w:bCs/>
          <w:i w:val="0"/>
          <w:iCs w:val="0"/>
          <w:color w:val="487B77" w:themeColor="accent6" w:themeShade="BF"/>
          <w:sz w:val="24"/>
          <w:szCs w:val="24"/>
          <w:lang w:val="el-GR"/>
        </w:rPr>
      </w:pPr>
      <w:bookmarkStart w:id="16" w:name="_Toc209430791"/>
      <w:r w:rsidRPr="00CC13E9">
        <w:rPr>
          <w:rFonts w:asciiTheme="majorHAnsi" w:hAnsiTheme="majorHAnsi" w:cstheme="majorHAnsi"/>
          <w:b/>
          <w:bCs/>
          <w:i w:val="0"/>
          <w:iCs w:val="0"/>
          <w:color w:val="487B77" w:themeColor="accent6" w:themeShade="BF"/>
          <w:sz w:val="24"/>
          <w:szCs w:val="24"/>
          <w:lang w:val="el-GR"/>
        </w:rPr>
        <w:t xml:space="preserve">Πίνακας </w:t>
      </w:r>
      <w:r w:rsidRPr="00CC13E9">
        <w:rPr>
          <w:rFonts w:asciiTheme="majorHAnsi" w:hAnsiTheme="majorHAnsi" w:cstheme="majorHAnsi"/>
          <w:b/>
          <w:bCs/>
          <w:i w:val="0"/>
          <w:iCs w:val="0"/>
          <w:color w:val="487B77" w:themeColor="accent6" w:themeShade="BF"/>
          <w:sz w:val="24"/>
          <w:szCs w:val="24"/>
          <w:lang w:val="el-GR"/>
        </w:rPr>
        <w:fldChar w:fldCharType="begin"/>
      </w:r>
      <w:r w:rsidRPr="00CC13E9">
        <w:rPr>
          <w:rFonts w:asciiTheme="majorHAnsi" w:hAnsiTheme="majorHAnsi" w:cstheme="majorHAnsi"/>
          <w:b/>
          <w:bCs/>
          <w:i w:val="0"/>
          <w:iCs w:val="0"/>
          <w:color w:val="487B77" w:themeColor="accent6" w:themeShade="BF"/>
          <w:sz w:val="24"/>
          <w:szCs w:val="24"/>
          <w:lang w:val="el-GR"/>
        </w:rPr>
        <w:instrText xml:space="preserve"> SEQ Πίνακας \* ARABIC </w:instrText>
      </w:r>
      <w:r w:rsidRPr="00CC13E9">
        <w:rPr>
          <w:rFonts w:asciiTheme="majorHAnsi" w:hAnsiTheme="majorHAnsi" w:cstheme="majorHAnsi"/>
          <w:b/>
          <w:bCs/>
          <w:i w:val="0"/>
          <w:iCs w:val="0"/>
          <w:color w:val="487B77" w:themeColor="accent6" w:themeShade="BF"/>
          <w:sz w:val="24"/>
          <w:szCs w:val="24"/>
          <w:lang w:val="el-GR"/>
        </w:rPr>
        <w:fldChar w:fldCharType="separate"/>
      </w:r>
      <w:r w:rsidR="00C761A3">
        <w:rPr>
          <w:rFonts w:asciiTheme="majorHAnsi" w:hAnsiTheme="majorHAnsi" w:cstheme="majorHAnsi"/>
          <w:b/>
          <w:bCs/>
          <w:i w:val="0"/>
          <w:iCs w:val="0"/>
          <w:noProof/>
          <w:color w:val="487B77" w:themeColor="accent6" w:themeShade="BF"/>
          <w:sz w:val="24"/>
          <w:szCs w:val="24"/>
          <w:lang w:val="el-GR"/>
        </w:rPr>
        <w:t>4</w:t>
      </w:r>
      <w:r w:rsidRPr="00CC13E9">
        <w:rPr>
          <w:rFonts w:asciiTheme="majorHAnsi" w:hAnsiTheme="majorHAnsi" w:cstheme="majorHAnsi"/>
          <w:b/>
          <w:bCs/>
          <w:i w:val="0"/>
          <w:iCs w:val="0"/>
          <w:color w:val="487B77" w:themeColor="accent6" w:themeShade="BF"/>
          <w:sz w:val="24"/>
          <w:szCs w:val="24"/>
          <w:lang w:val="el-GR"/>
        </w:rPr>
        <w:fldChar w:fldCharType="end"/>
      </w:r>
      <w:r w:rsidRPr="00CC13E9">
        <w:rPr>
          <w:rFonts w:asciiTheme="majorHAnsi" w:hAnsiTheme="majorHAnsi" w:cstheme="majorHAnsi"/>
          <w:b/>
          <w:bCs/>
          <w:i w:val="0"/>
          <w:iCs w:val="0"/>
          <w:color w:val="487B77" w:themeColor="accent6" w:themeShade="BF"/>
          <w:sz w:val="24"/>
          <w:szCs w:val="24"/>
          <w:lang w:val="el-GR"/>
        </w:rPr>
        <w:t>: Ποσοστό ατόμων με αναπηρία 20-64 ετών που συμμετέχουν στο εργατικό δυναμικό (Έρευνα Εργατικού Δυναμικού, 2024)</w:t>
      </w:r>
      <w:bookmarkEnd w:id="16"/>
    </w:p>
    <w:tbl>
      <w:tblPr>
        <w:tblStyle w:val="1-21"/>
        <w:tblW w:w="0" w:type="auto"/>
        <w:tblInd w:w="988" w:type="dxa"/>
        <w:tblLook w:val="04A0" w:firstRow="1" w:lastRow="0" w:firstColumn="1" w:lastColumn="0" w:noHBand="0" w:noVBand="1"/>
      </w:tblPr>
      <w:tblGrid>
        <w:gridCol w:w="3823"/>
        <w:gridCol w:w="2693"/>
      </w:tblGrid>
      <w:tr w:rsidR="00A63CF4" w:rsidRPr="00A63CF4" w14:paraId="5D729678" w14:textId="77777777" w:rsidTr="001E3A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FB2B9C7"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Φινλανδία</w:t>
            </w:r>
          </w:p>
        </w:tc>
        <w:tc>
          <w:tcPr>
            <w:tcW w:w="2693" w:type="dxa"/>
            <w:noWrap/>
            <w:hideMark/>
          </w:tcPr>
          <w:p w14:paraId="168DEABA" w14:textId="77777777" w:rsidR="00A63CF4" w:rsidRPr="00A63CF4" w:rsidRDefault="00A63CF4" w:rsidP="00A63CF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72,7</w:t>
            </w:r>
          </w:p>
        </w:tc>
      </w:tr>
      <w:tr w:rsidR="00A63CF4" w:rsidRPr="00A63CF4" w14:paraId="556978B0"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0035C94"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Εσθονία</w:t>
            </w:r>
          </w:p>
        </w:tc>
        <w:tc>
          <w:tcPr>
            <w:tcW w:w="2693" w:type="dxa"/>
            <w:noWrap/>
            <w:hideMark/>
          </w:tcPr>
          <w:p w14:paraId="6C034B37"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71,8</w:t>
            </w:r>
          </w:p>
        </w:tc>
      </w:tr>
      <w:tr w:rsidR="00A63CF4" w:rsidRPr="00A63CF4" w14:paraId="752A033D"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A47CD95"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Σουηδία</w:t>
            </w:r>
          </w:p>
        </w:tc>
        <w:tc>
          <w:tcPr>
            <w:tcW w:w="2693" w:type="dxa"/>
            <w:noWrap/>
            <w:hideMark/>
          </w:tcPr>
          <w:p w14:paraId="3FA69835"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71,8</w:t>
            </w:r>
          </w:p>
        </w:tc>
      </w:tr>
      <w:tr w:rsidR="00A63CF4" w:rsidRPr="00A63CF4" w14:paraId="25CAAB7A"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7CB4121"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Λουξεμβούργο</w:t>
            </w:r>
          </w:p>
        </w:tc>
        <w:tc>
          <w:tcPr>
            <w:tcW w:w="2693" w:type="dxa"/>
            <w:noWrap/>
            <w:hideMark/>
          </w:tcPr>
          <w:p w14:paraId="7B8E867F"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67,4</w:t>
            </w:r>
          </w:p>
        </w:tc>
      </w:tr>
      <w:tr w:rsidR="00A63CF4" w:rsidRPr="00A63CF4" w14:paraId="4D9F29D4"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B212C2D"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Γερμανία</w:t>
            </w:r>
          </w:p>
        </w:tc>
        <w:tc>
          <w:tcPr>
            <w:tcW w:w="2693" w:type="dxa"/>
            <w:noWrap/>
            <w:hideMark/>
          </w:tcPr>
          <w:p w14:paraId="72A8B7C6"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65,1</w:t>
            </w:r>
          </w:p>
        </w:tc>
      </w:tr>
      <w:tr w:rsidR="00A63CF4" w:rsidRPr="00A63CF4" w14:paraId="6EE3409A"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E149071"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Ολλανδία</w:t>
            </w:r>
          </w:p>
        </w:tc>
        <w:tc>
          <w:tcPr>
            <w:tcW w:w="2693" w:type="dxa"/>
            <w:noWrap/>
            <w:hideMark/>
          </w:tcPr>
          <w:p w14:paraId="25F62481"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64,2</w:t>
            </w:r>
          </w:p>
        </w:tc>
      </w:tr>
      <w:tr w:rsidR="00A63CF4" w:rsidRPr="00A63CF4" w14:paraId="1AC3232F"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F3248B0"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Γαλλία</w:t>
            </w:r>
          </w:p>
        </w:tc>
        <w:tc>
          <w:tcPr>
            <w:tcW w:w="2693" w:type="dxa"/>
            <w:noWrap/>
            <w:hideMark/>
          </w:tcPr>
          <w:p w14:paraId="671B3B69"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62,6</w:t>
            </w:r>
          </w:p>
        </w:tc>
      </w:tr>
      <w:tr w:rsidR="00A63CF4" w:rsidRPr="00A63CF4" w14:paraId="54B7763C"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B29751A"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Αυστρία</w:t>
            </w:r>
          </w:p>
        </w:tc>
        <w:tc>
          <w:tcPr>
            <w:tcW w:w="2693" w:type="dxa"/>
            <w:noWrap/>
            <w:hideMark/>
          </w:tcPr>
          <w:p w14:paraId="107E34AC"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60,6</w:t>
            </w:r>
          </w:p>
        </w:tc>
      </w:tr>
      <w:tr w:rsidR="00A63CF4" w:rsidRPr="00A63CF4" w14:paraId="6581C319"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D3FCE24"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Δανία</w:t>
            </w:r>
          </w:p>
        </w:tc>
        <w:tc>
          <w:tcPr>
            <w:tcW w:w="2693" w:type="dxa"/>
            <w:noWrap/>
            <w:hideMark/>
          </w:tcPr>
          <w:p w14:paraId="33D3F599"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60,4</w:t>
            </w:r>
          </w:p>
        </w:tc>
      </w:tr>
      <w:tr w:rsidR="00A63CF4" w:rsidRPr="00A63CF4" w14:paraId="0D244751"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3E269217"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Λετονία</w:t>
            </w:r>
          </w:p>
        </w:tc>
        <w:tc>
          <w:tcPr>
            <w:tcW w:w="2693" w:type="dxa"/>
            <w:noWrap/>
            <w:hideMark/>
          </w:tcPr>
          <w:p w14:paraId="68BF476E"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59,1</w:t>
            </w:r>
          </w:p>
        </w:tc>
      </w:tr>
      <w:tr w:rsidR="00A63CF4" w:rsidRPr="00A63CF4" w14:paraId="15B20FD4"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3D0A7AC"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Πορτογαλία</w:t>
            </w:r>
          </w:p>
        </w:tc>
        <w:tc>
          <w:tcPr>
            <w:tcW w:w="2693" w:type="dxa"/>
            <w:noWrap/>
            <w:hideMark/>
          </w:tcPr>
          <w:p w14:paraId="36BD42A2"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58,9</w:t>
            </w:r>
          </w:p>
        </w:tc>
      </w:tr>
      <w:tr w:rsidR="00A63CF4" w:rsidRPr="00A63CF4" w14:paraId="552B9BA8"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B15FCB9"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Τσεχία</w:t>
            </w:r>
          </w:p>
        </w:tc>
        <w:tc>
          <w:tcPr>
            <w:tcW w:w="2693" w:type="dxa"/>
            <w:noWrap/>
            <w:hideMark/>
          </w:tcPr>
          <w:p w14:paraId="458D34B3"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56,8</w:t>
            </w:r>
          </w:p>
        </w:tc>
      </w:tr>
      <w:tr w:rsidR="00A63CF4" w:rsidRPr="00A63CF4" w14:paraId="331B9D23"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04FF53B4"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lastRenderedPageBreak/>
              <w:t>Ευρωπαϊκή Ένωση - 27</w:t>
            </w:r>
          </w:p>
        </w:tc>
        <w:tc>
          <w:tcPr>
            <w:tcW w:w="2693" w:type="dxa"/>
            <w:noWrap/>
            <w:hideMark/>
          </w:tcPr>
          <w:p w14:paraId="523AC16F"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56,4</w:t>
            </w:r>
          </w:p>
        </w:tc>
      </w:tr>
      <w:tr w:rsidR="00A63CF4" w:rsidRPr="00A63CF4" w14:paraId="49CAA42B"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5680B13"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Σλοβακία</w:t>
            </w:r>
          </w:p>
        </w:tc>
        <w:tc>
          <w:tcPr>
            <w:tcW w:w="2693" w:type="dxa"/>
            <w:noWrap/>
            <w:hideMark/>
          </w:tcPr>
          <w:p w14:paraId="437DBD0E"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53,6</w:t>
            </w:r>
          </w:p>
        </w:tc>
      </w:tr>
      <w:tr w:rsidR="00A63CF4" w:rsidRPr="00A63CF4" w14:paraId="1C14E59C"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7E08D68A"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Μάλτα</w:t>
            </w:r>
          </w:p>
        </w:tc>
        <w:tc>
          <w:tcPr>
            <w:tcW w:w="2693" w:type="dxa"/>
            <w:noWrap/>
            <w:hideMark/>
          </w:tcPr>
          <w:p w14:paraId="341B72EE"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53</w:t>
            </w:r>
          </w:p>
        </w:tc>
      </w:tr>
      <w:tr w:rsidR="00A63CF4" w:rsidRPr="00A63CF4" w14:paraId="43A4B395"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8B960A5"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Σλοβενία</w:t>
            </w:r>
          </w:p>
        </w:tc>
        <w:tc>
          <w:tcPr>
            <w:tcW w:w="2693" w:type="dxa"/>
            <w:noWrap/>
            <w:hideMark/>
          </w:tcPr>
          <w:p w14:paraId="2ABD8504"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52,1</w:t>
            </w:r>
          </w:p>
        </w:tc>
      </w:tr>
      <w:tr w:rsidR="00A63CF4" w:rsidRPr="00A63CF4" w14:paraId="5016CBD9"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208A3FC3"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Κύπρος</w:t>
            </w:r>
          </w:p>
        </w:tc>
        <w:tc>
          <w:tcPr>
            <w:tcW w:w="2693" w:type="dxa"/>
            <w:noWrap/>
            <w:hideMark/>
          </w:tcPr>
          <w:p w14:paraId="72BCCD24"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51,8</w:t>
            </w:r>
          </w:p>
        </w:tc>
      </w:tr>
      <w:tr w:rsidR="00A63CF4" w:rsidRPr="00A63CF4" w14:paraId="1C912B05"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59721B8"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Βέλγιο</w:t>
            </w:r>
          </w:p>
        </w:tc>
        <w:tc>
          <w:tcPr>
            <w:tcW w:w="2693" w:type="dxa"/>
            <w:noWrap/>
            <w:hideMark/>
          </w:tcPr>
          <w:p w14:paraId="61F55A2C"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48,6</w:t>
            </w:r>
          </w:p>
        </w:tc>
      </w:tr>
      <w:tr w:rsidR="00A63CF4" w:rsidRPr="00A63CF4" w14:paraId="7086DA2F"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082C1AEA"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Ισπανία</w:t>
            </w:r>
          </w:p>
        </w:tc>
        <w:tc>
          <w:tcPr>
            <w:tcW w:w="2693" w:type="dxa"/>
            <w:noWrap/>
            <w:hideMark/>
          </w:tcPr>
          <w:p w14:paraId="1F112A0C"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48,5</w:t>
            </w:r>
          </w:p>
        </w:tc>
      </w:tr>
      <w:tr w:rsidR="00A63CF4" w:rsidRPr="00A63CF4" w14:paraId="4B84E68D"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006D3663"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Λιθουανία</w:t>
            </w:r>
          </w:p>
        </w:tc>
        <w:tc>
          <w:tcPr>
            <w:tcW w:w="2693" w:type="dxa"/>
            <w:noWrap/>
            <w:hideMark/>
          </w:tcPr>
          <w:p w14:paraId="78CC2A6F"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47,6</w:t>
            </w:r>
          </w:p>
        </w:tc>
      </w:tr>
      <w:tr w:rsidR="00A63CF4" w:rsidRPr="00A63CF4" w14:paraId="00FC52E1"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48D88C3"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Ιρλανδία</w:t>
            </w:r>
          </w:p>
        </w:tc>
        <w:tc>
          <w:tcPr>
            <w:tcW w:w="2693" w:type="dxa"/>
            <w:noWrap/>
            <w:hideMark/>
          </w:tcPr>
          <w:p w14:paraId="04C47D01"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47</w:t>
            </w:r>
          </w:p>
        </w:tc>
      </w:tr>
      <w:tr w:rsidR="00A63CF4" w:rsidRPr="00A63CF4" w14:paraId="5C5298CE"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B042819"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Ιταλία</w:t>
            </w:r>
          </w:p>
        </w:tc>
        <w:tc>
          <w:tcPr>
            <w:tcW w:w="2693" w:type="dxa"/>
            <w:noWrap/>
            <w:hideMark/>
          </w:tcPr>
          <w:p w14:paraId="1983474A"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42,6</w:t>
            </w:r>
          </w:p>
        </w:tc>
      </w:tr>
      <w:tr w:rsidR="00A63CF4" w:rsidRPr="00A63CF4" w14:paraId="2B046FBA"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7BCF625"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Ουγγαρία</w:t>
            </w:r>
          </w:p>
        </w:tc>
        <w:tc>
          <w:tcPr>
            <w:tcW w:w="2693" w:type="dxa"/>
            <w:noWrap/>
            <w:hideMark/>
          </w:tcPr>
          <w:p w14:paraId="573BC514"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39,3</w:t>
            </w:r>
          </w:p>
        </w:tc>
      </w:tr>
      <w:tr w:rsidR="00A63CF4" w:rsidRPr="00A63CF4" w14:paraId="4FC4E556"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643EF5C7"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Πολωνία</w:t>
            </w:r>
          </w:p>
        </w:tc>
        <w:tc>
          <w:tcPr>
            <w:tcW w:w="2693" w:type="dxa"/>
            <w:noWrap/>
            <w:hideMark/>
          </w:tcPr>
          <w:p w14:paraId="5E67D0DF"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37,1</w:t>
            </w:r>
          </w:p>
        </w:tc>
      </w:tr>
      <w:tr w:rsidR="00A63CF4" w:rsidRPr="00A63CF4" w14:paraId="2892A078"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4F9EE46A"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Κροατία</w:t>
            </w:r>
          </w:p>
        </w:tc>
        <w:tc>
          <w:tcPr>
            <w:tcW w:w="2693" w:type="dxa"/>
            <w:noWrap/>
            <w:hideMark/>
          </w:tcPr>
          <w:p w14:paraId="1DAD9DFC"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34,6</w:t>
            </w:r>
          </w:p>
        </w:tc>
      </w:tr>
      <w:tr w:rsidR="00A63CF4" w:rsidRPr="00A63CF4" w14:paraId="76141383"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1C22DFDB"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Ρουμανία</w:t>
            </w:r>
          </w:p>
        </w:tc>
        <w:tc>
          <w:tcPr>
            <w:tcW w:w="2693" w:type="dxa"/>
            <w:noWrap/>
            <w:hideMark/>
          </w:tcPr>
          <w:p w14:paraId="00F29A3F"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29,3</w:t>
            </w:r>
          </w:p>
        </w:tc>
      </w:tr>
      <w:tr w:rsidR="00A63CF4" w:rsidRPr="00A63CF4" w14:paraId="251817DF"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7B3D845F"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Ελλάδα</w:t>
            </w:r>
          </w:p>
        </w:tc>
        <w:tc>
          <w:tcPr>
            <w:tcW w:w="2693" w:type="dxa"/>
            <w:noWrap/>
            <w:hideMark/>
          </w:tcPr>
          <w:p w14:paraId="020C1897"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25,3</w:t>
            </w:r>
          </w:p>
        </w:tc>
      </w:tr>
      <w:tr w:rsidR="00A63CF4" w:rsidRPr="00A63CF4" w14:paraId="7EB198C8" w14:textId="77777777" w:rsidTr="001E3A64">
        <w:trPr>
          <w:trHeight w:val="300"/>
        </w:trPr>
        <w:tc>
          <w:tcPr>
            <w:cnfStyle w:val="001000000000" w:firstRow="0" w:lastRow="0" w:firstColumn="1" w:lastColumn="0" w:oddVBand="0" w:evenVBand="0" w:oddHBand="0" w:evenHBand="0" w:firstRowFirstColumn="0" w:firstRowLastColumn="0" w:lastRowFirstColumn="0" w:lastRowLastColumn="0"/>
            <w:tcW w:w="3823" w:type="dxa"/>
            <w:noWrap/>
            <w:hideMark/>
          </w:tcPr>
          <w:p w14:paraId="285896A4" w14:textId="77777777" w:rsidR="00A63CF4" w:rsidRPr="00A63CF4" w:rsidRDefault="00A63CF4" w:rsidP="00A63CF4">
            <w:pPr>
              <w:spacing w:after="0" w:line="240" w:lineRule="auto"/>
              <w:jc w:val="both"/>
              <w:rPr>
                <w:rFonts w:ascii="Constantia" w:eastAsia="Aptos" w:hAnsi="Constantia" w:cs="Times New Roman"/>
                <w:sz w:val="24"/>
                <w:szCs w:val="24"/>
                <w:lang w:val="de-DE"/>
              </w:rPr>
            </w:pPr>
            <w:r w:rsidRPr="00A63CF4">
              <w:rPr>
                <w:rFonts w:ascii="Constantia" w:eastAsia="Aptos" w:hAnsi="Constantia" w:cs="Times New Roman"/>
                <w:sz w:val="24"/>
                <w:szCs w:val="24"/>
                <w:lang w:val="de-DE"/>
              </w:rPr>
              <w:t>Βουλγαρία</w:t>
            </w:r>
          </w:p>
        </w:tc>
        <w:tc>
          <w:tcPr>
            <w:tcW w:w="2693" w:type="dxa"/>
            <w:noWrap/>
            <w:hideMark/>
          </w:tcPr>
          <w:p w14:paraId="6997C6C6" w14:textId="77777777" w:rsidR="00A63CF4" w:rsidRPr="00A63CF4" w:rsidRDefault="00A63CF4" w:rsidP="00A63CF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onstantia" w:eastAsia="Aptos" w:hAnsi="Constantia" w:cs="Times New Roman"/>
                <w:sz w:val="24"/>
                <w:szCs w:val="24"/>
                <w:lang w:val="de-DE"/>
              </w:rPr>
            </w:pPr>
            <w:r w:rsidRPr="00A63CF4">
              <w:rPr>
                <w:rFonts w:ascii="Constantia" w:eastAsia="Aptos" w:hAnsi="Constantia" w:cs="Times New Roman"/>
                <w:sz w:val="24"/>
                <w:szCs w:val="24"/>
                <w:lang w:val="de-DE"/>
              </w:rPr>
              <w:t>11,5</w:t>
            </w:r>
          </w:p>
        </w:tc>
      </w:tr>
    </w:tbl>
    <w:p w14:paraId="697786CD" w14:textId="77777777" w:rsidR="00A63CF4" w:rsidRPr="00A63CF4" w:rsidRDefault="00A63CF4" w:rsidP="00A63CF4">
      <w:pPr>
        <w:rPr>
          <w:lang w:val="el-GR"/>
        </w:rPr>
      </w:pPr>
    </w:p>
    <w:p w14:paraId="3B98FC92" w14:textId="2C4EE868" w:rsidR="00A63CF4" w:rsidRPr="00A63CF4" w:rsidRDefault="00A63CF4" w:rsidP="00A63CF4">
      <w:pPr>
        <w:pStyle w:val="af3"/>
        <w:spacing w:after="200"/>
        <w:ind w:left="0"/>
        <w:contextualSpacing w:val="0"/>
        <w:jc w:val="both"/>
        <w:rPr>
          <w:sz w:val="24"/>
          <w:szCs w:val="24"/>
          <w:lang w:val="el-GR"/>
        </w:rPr>
      </w:pPr>
      <w:r w:rsidRPr="00A63CF4">
        <w:rPr>
          <w:sz w:val="24"/>
          <w:szCs w:val="24"/>
          <w:lang w:val="el-GR"/>
        </w:rPr>
        <w:t xml:space="preserve">Υπολογίζοντας τον δείκτη συμμετοχής στο εργατικό δυναμικό στις κατεξοχήν παραγωγικές ηλικίες 20-64 ετών, το ποσοστό των ατόμων με αναπηρία που μετέχουν στον ενεργό πληθυσμό βρέθηκε να είναι στο ιδιαίτερα χαμηλό ποσοστό του 25,3%, δεύτερο </w:t>
      </w:r>
      <w:r w:rsidR="00263D20">
        <w:rPr>
          <w:sz w:val="24"/>
          <w:szCs w:val="24"/>
          <w:lang w:val="el-GR"/>
        </w:rPr>
        <w:t xml:space="preserve">δηλαδή </w:t>
      </w:r>
      <w:r w:rsidRPr="00A63CF4">
        <w:rPr>
          <w:sz w:val="24"/>
          <w:szCs w:val="24"/>
          <w:lang w:val="el-GR"/>
        </w:rPr>
        <w:t xml:space="preserve">από το τέλος, με χαμηλότερο μόνο αυτό της Βουλγαρίας, όταν ο μέσος όρος της ΕΕ υπολογίζεται σε υπερδιπλάσιο επίπεδο. </w:t>
      </w:r>
    </w:p>
    <w:p w14:paraId="771E46CD" w14:textId="77777777" w:rsidR="00A63CF4" w:rsidRPr="00A63CF4" w:rsidRDefault="00A63CF4" w:rsidP="00A63CF4">
      <w:pPr>
        <w:pStyle w:val="af3"/>
        <w:spacing w:after="200"/>
        <w:ind w:left="0"/>
        <w:contextualSpacing w:val="0"/>
        <w:jc w:val="both"/>
        <w:rPr>
          <w:sz w:val="24"/>
          <w:szCs w:val="24"/>
          <w:lang w:val="el-GR"/>
        </w:rPr>
      </w:pPr>
      <w:r w:rsidRPr="00A63CF4">
        <w:rPr>
          <w:sz w:val="24"/>
          <w:szCs w:val="24"/>
          <w:lang w:val="el-GR"/>
        </w:rPr>
        <w:t>Η Ελλάδα βρίσκεται δηλαδή στο κατώτατο άκρο της ΕΕ ως προς τη συμμετοχή των ατόμων με αναπηρία στο εργατικό δυναμικό. Αυτό καταδεικνύει ότι ο εργασιακός αποκλεισμός είναι ιδιαίτερα οξύς, γεγονός που συνδέεται με το άδικο νομοθετικό πλαίσιο που απαγορεύει την εργασία σε περίπτωση λήψης αναπηρικού επιδόματος, αλλά και με σειρά εμποδίων όπως, η  έλλειψη προσβάσιμων εργασιακών περιβαλλόντων και υποδομών,  η υποβαθμισμένη επαγγελματική εκπαίδευση των ατόμων με αναπηρία, οι περιορισμένες και αναποτελεσματικές ενεργητικές πολιτικές απασχόλησης, αλλά και τα εμμένοντα στερεότυπα για την αναπηρία.</w:t>
      </w:r>
    </w:p>
    <w:p w14:paraId="442E1D43" w14:textId="2DEDFB99" w:rsidR="00A63CF4" w:rsidRPr="00A63CF4" w:rsidRDefault="00A63CF4" w:rsidP="00A63CF4">
      <w:pPr>
        <w:pStyle w:val="af3"/>
        <w:spacing w:after="200"/>
        <w:ind w:left="0"/>
        <w:contextualSpacing w:val="0"/>
        <w:jc w:val="both"/>
        <w:rPr>
          <w:sz w:val="24"/>
          <w:szCs w:val="24"/>
          <w:lang w:val="el-GR"/>
        </w:rPr>
      </w:pPr>
      <w:r w:rsidRPr="00A63CF4">
        <w:rPr>
          <w:sz w:val="24"/>
          <w:szCs w:val="24"/>
          <w:lang w:val="el-GR"/>
        </w:rPr>
        <w:t xml:space="preserve">Το διάστημα 2015-2024 καταγράφεται αύξηση της εργασιακής ανισότητας, η οποία αποτυπώνεται στην εξέλιξη του δείκτη </w:t>
      </w:r>
      <w:r w:rsidR="00C147AC">
        <w:rPr>
          <w:sz w:val="24"/>
          <w:szCs w:val="24"/>
          <w:lang w:val="el-GR"/>
        </w:rPr>
        <w:t>«</w:t>
      </w:r>
      <w:r w:rsidRPr="00A63CF4">
        <w:rPr>
          <w:sz w:val="24"/>
          <w:szCs w:val="24"/>
          <w:lang w:val="el-GR"/>
        </w:rPr>
        <w:t>Χάσμα Απασχόλησης των ατόμων με αναπηρία</w:t>
      </w:r>
      <w:r w:rsidR="00C147AC">
        <w:rPr>
          <w:sz w:val="24"/>
          <w:szCs w:val="24"/>
          <w:lang w:val="el-GR"/>
        </w:rPr>
        <w:t>» (</w:t>
      </w:r>
      <w:r w:rsidRPr="00A63CF4">
        <w:rPr>
          <w:sz w:val="24"/>
          <w:szCs w:val="24"/>
          <w:lang w:val="el-GR"/>
        </w:rPr>
        <w:t>employment gap</w:t>
      </w:r>
      <w:r w:rsidR="00C147AC">
        <w:rPr>
          <w:sz w:val="24"/>
          <w:szCs w:val="24"/>
          <w:lang w:val="el-GR"/>
        </w:rPr>
        <w:t>)</w:t>
      </w:r>
      <w:r w:rsidRPr="00A63CF4">
        <w:rPr>
          <w:sz w:val="24"/>
          <w:szCs w:val="24"/>
          <w:lang w:val="el-GR"/>
        </w:rPr>
        <w:t>. Ειδικότερα, σύμφωνα με τα στοιχεία της Eurostat, το χάσμα, δηλαδή η διαφορά στο ποσοστό απασχολούμενων ατόμων με και χωρίς αναπηρία, το 2015 υπολογίστηκε να είναι 20,4 μονάδες και μια δεκαετία μετά, το 2024 ανήλθε σε 28,5 μονάδες</w:t>
      </w:r>
      <w:r>
        <w:rPr>
          <w:rStyle w:val="aa"/>
          <w:sz w:val="24"/>
          <w:szCs w:val="24"/>
          <w:lang w:val="el-GR"/>
        </w:rPr>
        <w:footnoteReference w:id="4"/>
      </w:r>
      <w:r w:rsidRPr="00A63CF4">
        <w:rPr>
          <w:sz w:val="24"/>
          <w:szCs w:val="24"/>
          <w:lang w:val="el-GR"/>
        </w:rPr>
        <w:t>.</w:t>
      </w:r>
    </w:p>
    <w:p w14:paraId="66A323F9" w14:textId="6E87C103" w:rsidR="003677F5" w:rsidRPr="00817968" w:rsidRDefault="00A63CF4" w:rsidP="00817968">
      <w:pPr>
        <w:pStyle w:val="2"/>
        <w:spacing w:before="360" w:after="480"/>
        <w:ind w:left="578" w:right="-142" w:hanging="578"/>
        <w:jc w:val="left"/>
        <w:rPr>
          <w:rFonts w:asciiTheme="minorHAnsi" w:hAnsiTheme="minorHAnsi" w:cstheme="minorHAnsi"/>
          <w:color w:val="auto"/>
        </w:rPr>
      </w:pPr>
      <w:bookmarkStart w:id="17" w:name="_Toc135310542"/>
      <w:bookmarkStart w:id="18" w:name="_Toc209427143"/>
      <w:r w:rsidRPr="00A63CF4">
        <w:rPr>
          <w:rFonts w:asciiTheme="minorHAnsi" w:hAnsiTheme="minorHAnsi" w:cstheme="minorHAnsi"/>
          <w:color w:val="auto"/>
        </w:rPr>
        <w:lastRenderedPageBreak/>
        <w:t>Ελλειμματική κοινωνική προστασία</w:t>
      </w:r>
      <w:bookmarkEnd w:id="17"/>
      <w:bookmarkEnd w:id="18"/>
    </w:p>
    <w:p w14:paraId="17C074D5" w14:textId="77777777" w:rsidR="008E569D" w:rsidRDefault="00A63CF4" w:rsidP="00C147AC">
      <w:pPr>
        <w:jc w:val="both"/>
        <w:rPr>
          <w:sz w:val="24"/>
          <w:szCs w:val="24"/>
          <w:lang w:val="el-GR"/>
        </w:rPr>
      </w:pPr>
      <w:r w:rsidRPr="00A63CF4">
        <w:rPr>
          <w:sz w:val="24"/>
          <w:szCs w:val="24"/>
          <w:lang w:val="el-GR"/>
        </w:rPr>
        <w:t>Στην Ελλάδα, ήδη πριν την εκδήλωση της οικονομικής κρίσης, είχε διαπιστωθεί το παράδοξο ότι, ενώ οι δαπάνες για κοινωνική προστασία αυξ</w:t>
      </w:r>
      <w:r w:rsidR="008E569D">
        <w:rPr>
          <w:sz w:val="24"/>
          <w:szCs w:val="24"/>
          <w:lang w:val="el-GR"/>
        </w:rPr>
        <w:t>άνοντα</w:t>
      </w:r>
      <w:r w:rsidRPr="00A63CF4">
        <w:rPr>
          <w:sz w:val="24"/>
          <w:szCs w:val="24"/>
          <w:lang w:val="el-GR"/>
        </w:rPr>
        <w:t>ν (1998-2008), το ποσοστό φτώχειας στη χώρα παρέμενε στα ίδια επίπεδα. Στη μειωμένη απόδοση των δαπανών κοινωνικής προστασίας στην Ελλάδα πρέπει να λαμβάνεται υπόψη η διάρθρωση των κοινωνικών μεταβιβάσεων</w:t>
      </w:r>
      <w:r w:rsidR="008E569D">
        <w:rPr>
          <w:sz w:val="24"/>
          <w:szCs w:val="24"/>
          <w:lang w:val="el-GR"/>
        </w:rPr>
        <w:t>,</w:t>
      </w:r>
      <w:r w:rsidRPr="00A63CF4">
        <w:rPr>
          <w:sz w:val="24"/>
          <w:szCs w:val="24"/>
          <w:lang w:val="el-GR"/>
        </w:rPr>
        <w:t xml:space="preserve"> που στην πλειονότητά τους αφορούν στις συντάξεις γήρατος, καθώς και η αναδιάρθρωση των εργασιακών σχέσεων στο πλαίσιο πολιτικών ελαστικοποίησης της εργασίας. </w:t>
      </w:r>
    </w:p>
    <w:p w14:paraId="2CDDABBA" w14:textId="009CBB0C" w:rsidR="00A63CF4" w:rsidRPr="00A63CF4" w:rsidRDefault="00A63CF4" w:rsidP="00C147AC">
      <w:pPr>
        <w:jc w:val="both"/>
        <w:rPr>
          <w:sz w:val="24"/>
          <w:szCs w:val="24"/>
          <w:lang w:val="el-GR"/>
        </w:rPr>
      </w:pPr>
      <w:r w:rsidRPr="00A63CF4">
        <w:rPr>
          <w:sz w:val="24"/>
          <w:szCs w:val="24"/>
          <w:lang w:val="el-GR"/>
        </w:rPr>
        <w:t>Δεδομένων των παραπάνω, η κοινωνική προστασία των ατόμων με αναπηρία, δομήθηκε στη βάση του αναχρονιστικού ιατρικού μοντέλου και περιορίστηκε διαχρονικά σε μια μονοδιάστατη προνοιακή αντίληψη. Απόρροια αυτής της αντίληψης είναι και η απουσία δομών και υπηρεσιών που να ανταποκρίνονται στις ανάγκες των ατόμων με αναπηρία και να υποστηρίζουν την ανεξάρτητη διαβίωση στην κοινότητα.</w:t>
      </w:r>
      <w:r w:rsidRPr="00A63CF4">
        <w:rPr>
          <w:lang w:val="el-GR"/>
        </w:rPr>
        <w:t xml:space="preserve"> </w:t>
      </w:r>
      <w:r w:rsidRPr="00A63CF4">
        <w:rPr>
          <w:sz w:val="24"/>
          <w:szCs w:val="24"/>
          <w:lang w:val="el-GR"/>
        </w:rPr>
        <w:t>Ο δείκτης της Eurostat «Επίδραση των κοινωνικών μεταβιβάσεων στη μείωση της φτώχειας», μετρά το πόσο συμβάλλουν οι κοινωνικές παροχές στη μείωση της φτώχειας, χωρίς να λαμβάνονται υπόψη οι συντάξεις. Ο δείκτης συγκρίνει το ποσοστό φτώχειας ή/και κοινωνικού αποκλεισμού πριν από τις κοινωνικές μεταβιβάσεις (δηλαδή, με εισόδημα μόνο από εργασία ή άλλες πηγές) και μετά από τις κοινωνικές μεταβιβάσεις (δηλαδή, όταν προστεθούν τα κοινωνικά επιδόματα, εξαιρουμένων των συντάξεων). Το 2024, η Ελλάδα καταγράφει τη χαμηλότερη τιμή στον δείκτη «Επίδραση των κοινωνικών μεταβιβάσεων (εξαιρουμένων των συντάξεων) στη μείωση της φτώχειας» που υπολογίστηκε σε 16,6, όταν σε επίπεδο Ε.Ε. των 27 καταγράφεται τιμή υπερδιπλάσια, που ανέρχεται σε 34,4.</w:t>
      </w:r>
    </w:p>
    <w:p w14:paraId="611BA9D6" w14:textId="636AB3A6" w:rsidR="00A63CF4" w:rsidRPr="00A63CF4" w:rsidRDefault="00A63CF4" w:rsidP="008E569D">
      <w:pPr>
        <w:jc w:val="both"/>
        <w:rPr>
          <w:sz w:val="24"/>
          <w:szCs w:val="24"/>
          <w:lang w:val="el-GR"/>
        </w:rPr>
      </w:pPr>
      <w:r w:rsidRPr="00A63CF4">
        <w:rPr>
          <w:sz w:val="24"/>
          <w:szCs w:val="24"/>
          <w:lang w:val="el-GR"/>
        </w:rPr>
        <w:t>Μετρώντας την επίδραση των κοινωνικών μεταβιβάσεων (συμπεριλαμβανομένων των συντάξεων) ειδικότερα στη μείωση της φτώχειας των ατόμων με μέτρια και σοβαρή αναπηρία 16-64 ετών,  το 2024 η Ελλάδα έρχεται και πάλι στη τελευταία θέση, καταγράφοντας τη χειρότερη επίδοση στο</w:t>
      </w:r>
      <w:r w:rsidR="008E569D">
        <w:rPr>
          <w:sz w:val="24"/>
          <w:szCs w:val="24"/>
          <w:lang w:val="el-GR"/>
        </w:rPr>
        <w:t>ν</w:t>
      </w:r>
      <w:r w:rsidRPr="00A63CF4">
        <w:rPr>
          <w:sz w:val="24"/>
          <w:szCs w:val="24"/>
          <w:lang w:val="el-GR"/>
        </w:rPr>
        <w:t xml:space="preserve"> συγκεκριμένο δείκτη. Ειδικότερα, μετά τις κοινωνικές μεταβιβάσεις το ποσοστό φτώχειας και κοινωνικού αποκλεισμού των ατόμων με αναπηρία 16-64 ετών μειώνεται μόλις κατά 5,3 μονάδες, καταλήγοντας να είναι ένα από τα δύο υψηλότερα στην Ευρώπη (Ποσοστό κινδύνου φτώχειας ή/και κοινωνικού αποκλεισμού: Ελλάδα: 48,3% / Ρουμανία: 48,4%).</w:t>
      </w:r>
    </w:p>
    <w:p w14:paraId="05EF075A" w14:textId="29D29AB7" w:rsidR="003677F5" w:rsidRDefault="003677F5" w:rsidP="00A63CF4">
      <w:pPr>
        <w:jc w:val="both"/>
        <w:rPr>
          <w:sz w:val="24"/>
          <w:szCs w:val="24"/>
          <w:lang w:val="el-GR"/>
        </w:rPr>
      </w:pPr>
      <w:r w:rsidRPr="005C568D">
        <w:rPr>
          <w:sz w:val="24"/>
          <w:szCs w:val="24"/>
          <w:lang w:val="el-GR"/>
        </w:rPr>
        <w:t xml:space="preserve"> </w:t>
      </w:r>
      <w:bookmarkStart w:id="19" w:name="_Hlk134911994"/>
    </w:p>
    <w:p w14:paraId="43F95187" w14:textId="77777777" w:rsidR="00A63CF4" w:rsidRDefault="00A63CF4" w:rsidP="00A63CF4">
      <w:pPr>
        <w:jc w:val="both"/>
        <w:rPr>
          <w:sz w:val="24"/>
          <w:szCs w:val="24"/>
          <w:lang w:val="el-GR"/>
        </w:rPr>
      </w:pPr>
    </w:p>
    <w:p w14:paraId="082B1CD7" w14:textId="77777777" w:rsidR="00A63CF4" w:rsidRDefault="00A63CF4" w:rsidP="00A63CF4">
      <w:pPr>
        <w:jc w:val="both"/>
        <w:rPr>
          <w:sz w:val="24"/>
          <w:szCs w:val="24"/>
          <w:lang w:val="el-GR"/>
        </w:rPr>
      </w:pPr>
    </w:p>
    <w:p w14:paraId="55AB7293" w14:textId="77777777" w:rsidR="00A63CF4" w:rsidRPr="007C2B56" w:rsidRDefault="00A63CF4" w:rsidP="00A63CF4">
      <w:pPr>
        <w:jc w:val="both"/>
        <w:rPr>
          <w:sz w:val="24"/>
          <w:szCs w:val="24"/>
          <w:lang w:val="el-GR"/>
        </w:rPr>
      </w:pPr>
    </w:p>
    <w:p w14:paraId="2FA7E56C" w14:textId="77777777" w:rsidR="000F26F8" w:rsidRPr="007C2B56" w:rsidRDefault="000F26F8" w:rsidP="00A63CF4">
      <w:pPr>
        <w:jc w:val="both"/>
        <w:rPr>
          <w:sz w:val="24"/>
          <w:szCs w:val="24"/>
          <w:lang w:val="el-GR"/>
        </w:rPr>
      </w:pPr>
    </w:p>
    <w:p w14:paraId="6C65B6F9" w14:textId="00A41681" w:rsidR="00A63CF4" w:rsidRPr="00A63CF4" w:rsidRDefault="00A63CF4" w:rsidP="00A63CF4">
      <w:pPr>
        <w:pStyle w:val="a5"/>
        <w:ind w:left="567" w:right="565"/>
        <w:jc w:val="center"/>
        <w:rPr>
          <w:rFonts w:asciiTheme="majorHAnsi" w:hAnsiTheme="majorHAnsi" w:cstheme="majorHAnsi"/>
          <w:b/>
          <w:bCs/>
          <w:i w:val="0"/>
          <w:iCs w:val="0"/>
          <w:color w:val="487B77" w:themeColor="accent6" w:themeShade="BF"/>
          <w:sz w:val="24"/>
          <w:szCs w:val="24"/>
          <w:lang w:val="el-GR"/>
        </w:rPr>
      </w:pPr>
      <w:bookmarkStart w:id="20" w:name="_Toc209426979"/>
      <w:r w:rsidRPr="00A63CF4">
        <w:rPr>
          <w:rFonts w:asciiTheme="majorHAnsi" w:hAnsiTheme="majorHAnsi" w:cstheme="majorHAnsi"/>
          <w:b/>
          <w:bCs/>
          <w:i w:val="0"/>
          <w:iCs w:val="0"/>
          <w:color w:val="487B77" w:themeColor="accent6" w:themeShade="BF"/>
          <w:sz w:val="24"/>
          <w:szCs w:val="24"/>
          <w:lang w:val="el-GR"/>
        </w:rPr>
        <w:lastRenderedPageBreak/>
        <w:t xml:space="preserve">Γράφημα </w:t>
      </w:r>
      <w:r w:rsidRPr="00A63CF4">
        <w:rPr>
          <w:rFonts w:asciiTheme="majorHAnsi" w:hAnsiTheme="majorHAnsi" w:cstheme="majorHAnsi"/>
          <w:b/>
          <w:bCs/>
          <w:i w:val="0"/>
          <w:iCs w:val="0"/>
          <w:color w:val="487B77" w:themeColor="accent6" w:themeShade="BF"/>
          <w:sz w:val="24"/>
          <w:szCs w:val="24"/>
          <w:lang w:val="el-GR"/>
        </w:rPr>
        <w:fldChar w:fldCharType="begin"/>
      </w:r>
      <w:r w:rsidRPr="00A63CF4">
        <w:rPr>
          <w:rFonts w:asciiTheme="majorHAnsi" w:hAnsiTheme="majorHAnsi" w:cstheme="majorHAnsi"/>
          <w:b/>
          <w:bCs/>
          <w:i w:val="0"/>
          <w:iCs w:val="0"/>
          <w:color w:val="487B77" w:themeColor="accent6" w:themeShade="BF"/>
          <w:sz w:val="24"/>
          <w:szCs w:val="24"/>
          <w:lang w:val="el-GR"/>
        </w:rPr>
        <w:instrText xml:space="preserve"> SEQ Γράφημα \* ARABIC </w:instrText>
      </w:r>
      <w:r w:rsidRPr="00A63CF4">
        <w:rPr>
          <w:rFonts w:asciiTheme="majorHAnsi" w:hAnsiTheme="majorHAnsi" w:cstheme="majorHAnsi"/>
          <w:b/>
          <w:bCs/>
          <w:i w:val="0"/>
          <w:iCs w:val="0"/>
          <w:color w:val="487B77" w:themeColor="accent6" w:themeShade="BF"/>
          <w:sz w:val="24"/>
          <w:szCs w:val="24"/>
          <w:lang w:val="el-GR"/>
        </w:rPr>
        <w:fldChar w:fldCharType="separate"/>
      </w:r>
      <w:r>
        <w:rPr>
          <w:rFonts w:asciiTheme="majorHAnsi" w:hAnsiTheme="majorHAnsi" w:cstheme="majorHAnsi"/>
          <w:b/>
          <w:bCs/>
          <w:i w:val="0"/>
          <w:iCs w:val="0"/>
          <w:noProof/>
          <w:color w:val="487B77" w:themeColor="accent6" w:themeShade="BF"/>
          <w:sz w:val="24"/>
          <w:szCs w:val="24"/>
          <w:lang w:val="el-GR"/>
        </w:rPr>
        <w:t>3</w:t>
      </w:r>
      <w:r w:rsidRPr="00A63CF4">
        <w:rPr>
          <w:rFonts w:asciiTheme="majorHAnsi" w:hAnsiTheme="majorHAnsi" w:cstheme="majorHAnsi"/>
          <w:b/>
          <w:bCs/>
          <w:i w:val="0"/>
          <w:iCs w:val="0"/>
          <w:color w:val="487B77" w:themeColor="accent6" w:themeShade="BF"/>
          <w:sz w:val="24"/>
          <w:szCs w:val="24"/>
          <w:lang w:val="el-GR"/>
        </w:rPr>
        <w:fldChar w:fldCharType="end"/>
      </w:r>
      <w:r w:rsidRPr="00A63CF4">
        <w:rPr>
          <w:rFonts w:asciiTheme="majorHAnsi" w:hAnsiTheme="majorHAnsi" w:cstheme="majorHAnsi"/>
          <w:b/>
          <w:bCs/>
          <w:i w:val="0"/>
          <w:iCs w:val="0"/>
          <w:color w:val="487B77" w:themeColor="accent6" w:themeShade="BF"/>
          <w:sz w:val="24"/>
          <w:szCs w:val="24"/>
          <w:lang w:val="el-GR"/>
        </w:rPr>
        <w:t xml:space="preserve">: Επίδραση των κοινωνικών μεταβιβάσεων (συμπεριλαμβανομένων των συντάξεων) στη μείωση της φτώχειας των ατόμων με μέτρια </w:t>
      </w:r>
      <w:r w:rsidRPr="00A63CF4">
        <w:rPr>
          <w:rFonts w:asciiTheme="majorHAnsi" w:hAnsiTheme="majorHAnsi" w:cstheme="majorHAnsi"/>
          <w:b/>
          <w:bCs/>
          <w:i w:val="0"/>
          <w:iCs w:val="0"/>
          <w:color w:val="487B77" w:themeColor="accent6" w:themeShade="BF"/>
          <w:sz w:val="24"/>
          <w:szCs w:val="24"/>
          <w:lang w:val="el-GR"/>
        </w:rPr>
        <w:br/>
        <w:t>και σοβαρή αναπηρία 16-64 ετών (2024)</w:t>
      </w:r>
      <w:bookmarkEnd w:id="20"/>
    </w:p>
    <w:p w14:paraId="15296812" w14:textId="77777777" w:rsidR="00A63CF4" w:rsidRPr="00A63CF4" w:rsidRDefault="00A63CF4" w:rsidP="00A63CF4">
      <w:pPr>
        <w:jc w:val="both"/>
        <w:rPr>
          <w:b/>
          <w:bCs/>
          <w:sz w:val="24"/>
          <w:szCs w:val="24"/>
        </w:rPr>
      </w:pPr>
      <w:r w:rsidRPr="00A63CF4">
        <w:rPr>
          <w:b/>
          <w:bCs/>
          <w:noProof/>
          <w:sz w:val="24"/>
          <w:szCs w:val="24"/>
          <w:lang w:val="el-GR"/>
        </w:rPr>
        <w:drawing>
          <wp:inline distT="0" distB="0" distL="0" distR="0" wp14:anchorId="7EF4AE0E" wp14:editId="3F3EF868">
            <wp:extent cx="5377815" cy="6136850"/>
            <wp:effectExtent l="0" t="0" r="13335" b="16510"/>
            <wp:docPr id="1804977682" name="Γράφημα 1" descr="Σλοβακία: 30,1&#10;Σλοβενία: 24,2&#10;Πολωνία: 23,2&#10;Αυστρία: 22,1&#10;Τσεχία: 19,8&#10;Κροατία: 17,6&#10;Βέλγιο: 17,4&#10;Λουξεμβούργο: 16,8&#10;Ιρλανδία: 16,7&#10;Κύπρος: 16,4&#10;Γαλλία: 14,2&#10;Βουλγαρία: 14,1&#10;Ουγγαρία: 13,7&#10;Σουηδία: 12,8&#10;Εσθονία: 12,6&#10;ΕΕ- 27: 12,4&#10;Πορτογαλία: 12,1&#10;Λιθουανία: 11,4&#10;Ιταλία: 11,3&#10;Ρουμανία: 11,1&#10;Φινλανδία: 10,9&#10;Λετονία: 10,3&#10;Ολλανδία: 8,6&#10;Δανία: 8,3&#10;Γερμανία: 7,9&#10;Μάλτα: 6,9&#10;Ισπανία: 6,8&#10;Ελλάδα: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8A2685" w14:textId="77777777" w:rsidR="00A63CF4" w:rsidRPr="00A63CF4" w:rsidRDefault="00A63CF4" w:rsidP="00A63CF4">
      <w:pPr>
        <w:pStyle w:val="a5"/>
        <w:spacing w:after="240"/>
        <w:ind w:left="142" w:right="282"/>
        <w:jc w:val="center"/>
        <w:rPr>
          <w:color w:val="487B77" w:themeColor="accent6" w:themeShade="BF"/>
          <w:lang w:val="el-GR"/>
        </w:rPr>
      </w:pPr>
      <w:r w:rsidRPr="00A63CF4">
        <w:rPr>
          <w:color w:val="487B77" w:themeColor="accent6" w:themeShade="BF"/>
          <w:lang w:val="el-GR"/>
        </w:rPr>
        <w:t>Πηγή : Eurostat (2024) / Επεξεργασία: Παρατηρητήριο Θεμάτων Αναπηρίας-Ε.Σ.Α.μεΑ.</w:t>
      </w:r>
    </w:p>
    <w:p w14:paraId="0B77B871" w14:textId="4A3E444E" w:rsidR="00A63CF4" w:rsidRPr="00AC1907" w:rsidRDefault="00A63CF4" w:rsidP="00C3251C">
      <w:pPr>
        <w:pBdr>
          <w:top w:val="dashed" w:sz="4" w:space="1" w:color="FFC000"/>
          <w:left w:val="dashed" w:sz="4" w:space="4" w:color="FFC000"/>
          <w:bottom w:val="dashed" w:sz="4" w:space="1" w:color="FFC000"/>
          <w:right w:val="dashed" w:sz="4" w:space="4" w:color="FFC000"/>
        </w:pBdr>
        <w:rPr>
          <w:rFonts w:ascii="Constantia" w:hAnsi="Constantia"/>
          <w:b/>
          <w:bCs/>
          <w:lang w:val="el-GR"/>
        </w:rPr>
      </w:pPr>
      <w:r w:rsidRPr="00AC1907">
        <w:rPr>
          <w:rFonts w:ascii="Constantia" w:hAnsi="Constantia"/>
          <w:b/>
          <w:bCs/>
          <w:lang w:val="el-GR"/>
        </w:rPr>
        <w:t>Βλέπε περισσότερο σχετικά με την κοινωνική προστασία στο</w:t>
      </w:r>
      <w:r w:rsidR="00C3251C">
        <w:rPr>
          <w:rFonts w:ascii="Constantia" w:hAnsi="Constantia"/>
          <w:b/>
          <w:bCs/>
          <w:lang w:val="el-GR"/>
        </w:rPr>
        <w:t>:</w:t>
      </w:r>
      <w:r w:rsidRPr="00AC1907">
        <w:rPr>
          <w:rFonts w:ascii="Constantia" w:hAnsi="Constantia"/>
          <w:b/>
          <w:bCs/>
          <w:lang w:val="el-GR"/>
        </w:rPr>
        <w:t xml:space="preserve"> </w:t>
      </w:r>
    </w:p>
    <w:p w14:paraId="0AEB7C8E" w14:textId="5360F906" w:rsidR="00A63CF4" w:rsidRPr="00AC1907" w:rsidRDefault="00A63CF4" w:rsidP="00C3251C">
      <w:pPr>
        <w:pBdr>
          <w:top w:val="dashed" w:sz="4" w:space="1" w:color="FFC000"/>
          <w:left w:val="dashed" w:sz="4" w:space="4" w:color="FFC000"/>
          <w:bottom w:val="dashed" w:sz="4" w:space="1" w:color="FFC000"/>
          <w:right w:val="dashed" w:sz="4" w:space="4" w:color="FFC000"/>
        </w:pBdr>
        <w:rPr>
          <w:rFonts w:ascii="Constantia" w:hAnsi="Constantia"/>
          <w:b/>
          <w:bCs/>
          <w:lang w:val="el-GR"/>
        </w:rPr>
      </w:pPr>
      <w:hyperlink r:id="rId14" w:history="1">
        <w:r w:rsidRPr="00C3251C">
          <w:rPr>
            <w:rStyle w:val="-0"/>
            <w:rFonts w:ascii="Constantia" w:hAnsi="Constantia"/>
            <w:b/>
            <w:bCs/>
            <w:lang w:val="el-GR"/>
          </w:rPr>
          <w:t>ΔΕΛΤΙΟ ΣΤΑΤΙΣΤΙΚΗΣ ΠΛΗΡΟΦΟΡΗΣΗΣ [2025_1ο ΔΕΛΤΙΟ], «ΔΑΠΑΝΕΣ ΚΟΙΝΩΝΙΚΗΣ ΠΡΟΣΤΑΣΙΑΣ ΚΑΙ  ΠΡΟΣΤΑΣΙΑ ΤΗΣ ΑΝΑΠΗΡΙΑΣ»</w:t>
        </w:r>
      </w:hyperlink>
    </w:p>
    <w:p w14:paraId="15DED371" w14:textId="13B2E8D4" w:rsidR="003677F5" w:rsidRPr="00ED1BDD" w:rsidRDefault="00A63CF4" w:rsidP="00ED1BDD">
      <w:pPr>
        <w:pStyle w:val="2"/>
        <w:spacing w:before="360" w:after="480"/>
        <w:ind w:left="578" w:right="-142" w:hanging="578"/>
        <w:jc w:val="left"/>
        <w:rPr>
          <w:rFonts w:asciiTheme="minorHAnsi" w:hAnsiTheme="minorHAnsi" w:cstheme="minorHAnsi"/>
          <w:color w:val="auto"/>
        </w:rPr>
      </w:pPr>
      <w:bookmarkStart w:id="21" w:name="_Toc135310543"/>
      <w:bookmarkStart w:id="22" w:name="_Toc209427144"/>
      <w:bookmarkEnd w:id="19"/>
      <w:r w:rsidRPr="00A63CF4">
        <w:rPr>
          <w:rFonts w:asciiTheme="minorHAnsi" w:hAnsiTheme="minorHAnsi" w:cstheme="minorHAnsi"/>
          <w:color w:val="auto"/>
        </w:rPr>
        <w:lastRenderedPageBreak/>
        <w:t>Υγεία από «την τσέπη των νοικοκυριών»</w:t>
      </w:r>
      <w:bookmarkEnd w:id="21"/>
      <w:bookmarkEnd w:id="22"/>
    </w:p>
    <w:p w14:paraId="01158407" w14:textId="19B7A718" w:rsidR="00A63CF4" w:rsidRPr="00A63CF4" w:rsidRDefault="00A63CF4" w:rsidP="00A63CF4">
      <w:pPr>
        <w:jc w:val="both"/>
        <w:rPr>
          <w:b/>
          <w:bCs/>
          <w:sz w:val="24"/>
          <w:szCs w:val="24"/>
          <w:lang w:val="el-GR"/>
        </w:rPr>
      </w:pPr>
      <w:r w:rsidRPr="00A63CF4">
        <w:rPr>
          <w:sz w:val="24"/>
          <w:szCs w:val="24"/>
          <w:lang w:val="el-GR"/>
        </w:rPr>
        <w:t xml:space="preserve">Στη βάση των στοιχείων που παραθέτουμε, συμπεραίνεται ότι, οι οικονομικές ενισχύσεις προς τα άτομα με αναπηρία, </w:t>
      </w:r>
      <w:r w:rsidRPr="00A63CF4">
        <w:rPr>
          <w:b/>
          <w:bCs/>
          <w:sz w:val="24"/>
          <w:szCs w:val="24"/>
          <w:lang w:val="el-GR"/>
        </w:rPr>
        <w:t>συμβάλλουν στην αποκατάσταση μικρού μέρους των οικονομικών ανισοτήτων</w:t>
      </w:r>
      <w:r w:rsidRPr="00A63CF4">
        <w:rPr>
          <w:sz w:val="24"/>
          <w:szCs w:val="24"/>
          <w:lang w:val="el-GR"/>
        </w:rPr>
        <w:t xml:space="preserve">. Εκτός των παραμέτρων που ήδη εξετάσαμε, βασικός συντελεστής στην συνθήκη φτωχοποίησης των ατόμων με αναπηρία είναι το υπέρογκο κόστος που επωμίζονται τα νοικοκυριά για την πρόσβαση σε υπηρεσίες υγείας. </w:t>
      </w:r>
    </w:p>
    <w:p w14:paraId="3176BF42" w14:textId="72AEFA0D" w:rsidR="00A63CF4" w:rsidRPr="00A63CF4" w:rsidRDefault="00A63CF4" w:rsidP="00A63CF4">
      <w:pPr>
        <w:jc w:val="both"/>
        <w:rPr>
          <w:sz w:val="24"/>
          <w:szCs w:val="24"/>
          <w:lang w:val="el-GR"/>
        </w:rPr>
      </w:pPr>
      <w:r w:rsidRPr="00A63CF4">
        <w:rPr>
          <w:sz w:val="24"/>
          <w:szCs w:val="24"/>
          <w:lang w:val="el-GR"/>
        </w:rPr>
        <w:t>Η σταθερή υποχρηματοδότηση του ΕΣΥ</w:t>
      </w:r>
      <w:r w:rsidR="0072644A">
        <w:rPr>
          <w:sz w:val="24"/>
          <w:szCs w:val="24"/>
          <w:lang w:val="el-GR"/>
        </w:rPr>
        <w:t xml:space="preserve"> </w:t>
      </w:r>
      <w:r w:rsidRPr="00A63CF4">
        <w:rPr>
          <w:sz w:val="24"/>
          <w:szCs w:val="24"/>
          <w:lang w:val="el-GR"/>
        </w:rPr>
        <w:t>αφενός έχει οδηγήσει στις τεράστιες γνωστές δυσλειτουργίες</w:t>
      </w:r>
      <w:r w:rsidR="0072644A">
        <w:rPr>
          <w:sz w:val="24"/>
          <w:szCs w:val="24"/>
          <w:lang w:val="el-GR"/>
        </w:rPr>
        <w:t xml:space="preserve"> </w:t>
      </w:r>
      <w:r w:rsidRPr="00A63CF4">
        <w:rPr>
          <w:sz w:val="24"/>
          <w:szCs w:val="24"/>
          <w:lang w:val="el-GR"/>
        </w:rPr>
        <w:t>αφετέρου μετακυλείει το κόστος της υγείας στους πολίτες, που δεδομένης της οικονομικής στενότητας που αντιμετωπίζουν, αναγκάζονται να στερούνται βασικά είδη διαβίωσης</w:t>
      </w:r>
      <w:r w:rsidR="0072644A">
        <w:rPr>
          <w:sz w:val="24"/>
          <w:szCs w:val="24"/>
          <w:lang w:val="el-GR"/>
        </w:rPr>
        <w:t>,</w:t>
      </w:r>
      <w:r w:rsidRPr="00A63CF4">
        <w:rPr>
          <w:sz w:val="24"/>
          <w:szCs w:val="24"/>
          <w:lang w:val="el-GR"/>
        </w:rPr>
        <w:t xml:space="preserve"> προκειμένου να ανταπεξέλθουν στο κόστος των αναγκών υγείας τους. Σύμφωνα με τα αποτελέσματα της μεγάλης πανελλαδικής έρευνας του Παρατηρητηρίου Θεμάτων Αναπηρίας για την Πρόσβαση των ατόμων με αναπηρία, χρόνιες και σπάνιες παθήσεις στην Υγεία, το 78% έχει μειώσει δαπάνες για την κάλυψη των βασικών αναγκών διαβίωσης, όπως δαπάνες για τρόφιμα ή ρούχα, ώστε να καλύψει τις ανελαστικές ανάγκες υγείας του.</w:t>
      </w:r>
    </w:p>
    <w:p w14:paraId="33942217" w14:textId="06FF6468" w:rsidR="00A63CF4" w:rsidRPr="00A63CF4" w:rsidRDefault="00A63CF4" w:rsidP="00A63CF4">
      <w:pPr>
        <w:pStyle w:val="a5"/>
        <w:ind w:left="567" w:right="565"/>
        <w:jc w:val="center"/>
        <w:rPr>
          <w:rFonts w:asciiTheme="majorHAnsi" w:hAnsiTheme="majorHAnsi" w:cstheme="majorHAnsi"/>
          <w:b/>
          <w:bCs/>
          <w:i w:val="0"/>
          <w:iCs w:val="0"/>
          <w:color w:val="487B77" w:themeColor="accent6" w:themeShade="BF"/>
          <w:sz w:val="24"/>
          <w:szCs w:val="24"/>
          <w:lang w:val="el-GR"/>
        </w:rPr>
      </w:pPr>
      <w:bookmarkStart w:id="23" w:name="_Toc209430792"/>
      <w:r w:rsidRPr="00A63CF4">
        <w:rPr>
          <w:rFonts w:asciiTheme="majorHAnsi" w:hAnsiTheme="majorHAnsi" w:cstheme="majorHAnsi"/>
          <w:b/>
          <w:bCs/>
          <w:i w:val="0"/>
          <w:iCs w:val="0"/>
          <w:color w:val="487B77" w:themeColor="accent6" w:themeShade="BF"/>
          <w:sz w:val="24"/>
          <w:szCs w:val="24"/>
          <w:lang w:val="el-GR"/>
        </w:rPr>
        <w:t xml:space="preserve">Πίνακας </w:t>
      </w:r>
      <w:r w:rsidRPr="00A63CF4">
        <w:rPr>
          <w:rFonts w:asciiTheme="majorHAnsi" w:hAnsiTheme="majorHAnsi" w:cstheme="majorHAnsi"/>
          <w:b/>
          <w:bCs/>
          <w:i w:val="0"/>
          <w:iCs w:val="0"/>
          <w:color w:val="487B77" w:themeColor="accent6" w:themeShade="BF"/>
          <w:sz w:val="24"/>
          <w:szCs w:val="24"/>
          <w:lang w:val="el-GR"/>
        </w:rPr>
        <w:fldChar w:fldCharType="begin"/>
      </w:r>
      <w:r w:rsidRPr="00A63CF4">
        <w:rPr>
          <w:rFonts w:asciiTheme="majorHAnsi" w:hAnsiTheme="majorHAnsi" w:cstheme="majorHAnsi"/>
          <w:b/>
          <w:bCs/>
          <w:i w:val="0"/>
          <w:iCs w:val="0"/>
          <w:color w:val="487B77" w:themeColor="accent6" w:themeShade="BF"/>
          <w:sz w:val="24"/>
          <w:szCs w:val="24"/>
          <w:lang w:val="el-GR"/>
        </w:rPr>
        <w:instrText xml:space="preserve"> SEQ Πίνακας \* ARABIC </w:instrText>
      </w:r>
      <w:r w:rsidRPr="00A63CF4">
        <w:rPr>
          <w:rFonts w:asciiTheme="majorHAnsi" w:hAnsiTheme="majorHAnsi" w:cstheme="majorHAnsi"/>
          <w:b/>
          <w:bCs/>
          <w:i w:val="0"/>
          <w:iCs w:val="0"/>
          <w:color w:val="487B77" w:themeColor="accent6" w:themeShade="BF"/>
          <w:sz w:val="24"/>
          <w:szCs w:val="24"/>
          <w:lang w:val="el-GR"/>
        </w:rPr>
        <w:fldChar w:fldCharType="separate"/>
      </w:r>
      <w:r w:rsidR="00C761A3">
        <w:rPr>
          <w:rFonts w:asciiTheme="majorHAnsi" w:hAnsiTheme="majorHAnsi" w:cstheme="majorHAnsi"/>
          <w:b/>
          <w:bCs/>
          <w:i w:val="0"/>
          <w:iCs w:val="0"/>
          <w:noProof/>
          <w:color w:val="487B77" w:themeColor="accent6" w:themeShade="BF"/>
          <w:sz w:val="24"/>
          <w:szCs w:val="24"/>
          <w:lang w:val="el-GR"/>
        </w:rPr>
        <w:t>5</w:t>
      </w:r>
      <w:r w:rsidRPr="00A63CF4">
        <w:rPr>
          <w:rFonts w:asciiTheme="majorHAnsi" w:hAnsiTheme="majorHAnsi" w:cstheme="majorHAnsi"/>
          <w:b/>
          <w:bCs/>
          <w:i w:val="0"/>
          <w:iCs w:val="0"/>
          <w:color w:val="487B77" w:themeColor="accent6" w:themeShade="BF"/>
          <w:sz w:val="24"/>
          <w:szCs w:val="24"/>
          <w:lang w:val="el-GR"/>
        </w:rPr>
        <w:fldChar w:fldCharType="end"/>
      </w:r>
      <w:r w:rsidRPr="00A63CF4">
        <w:rPr>
          <w:rFonts w:asciiTheme="majorHAnsi" w:hAnsiTheme="majorHAnsi" w:cstheme="majorHAnsi"/>
          <w:b/>
          <w:bCs/>
          <w:i w:val="0"/>
          <w:iCs w:val="0"/>
          <w:color w:val="487B77" w:themeColor="accent6" w:themeShade="BF"/>
          <w:sz w:val="24"/>
          <w:szCs w:val="24"/>
          <w:lang w:val="el-GR"/>
        </w:rPr>
        <w:t>: Ποσοστό των άμεσων δαπανών υγειονομικής περίθαλψης από «την τσέπη των νοικοκυριών» επί των συνολικών δαπανών για την υγεία (out- of -pocket expenditure on health</w:t>
      </w:r>
      <w:r w:rsidR="0072644A">
        <w:rPr>
          <w:rFonts w:asciiTheme="majorHAnsi" w:hAnsiTheme="majorHAnsi" w:cstheme="majorHAnsi"/>
          <w:b/>
          <w:bCs/>
          <w:i w:val="0"/>
          <w:iCs w:val="0"/>
          <w:color w:val="487B77" w:themeColor="accent6" w:themeShade="BF"/>
          <w:sz w:val="24"/>
          <w:szCs w:val="24"/>
          <w:lang w:val="el-GR"/>
        </w:rPr>
        <w:t xml:space="preserve">, </w:t>
      </w:r>
      <w:r w:rsidR="0072644A">
        <w:rPr>
          <w:rFonts w:asciiTheme="majorHAnsi" w:hAnsiTheme="majorHAnsi" w:cstheme="majorHAnsi"/>
          <w:b/>
          <w:bCs/>
          <w:i w:val="0"/>
          <w:iCs w:val="0"/>
          <w:color w:val="487B77" w:themeColor="accent6" w:themeShade="BF"/>
          <w:sz w:val="24"/>
          <w:szCs w:val="24"/>
        </w:rPr>
        <w:t>Eurostat</w:t>
      </w:r>
      <w:r w:rsidRPr="00A63CF4">
        <w:rPr>
          <w:rFonts w:asciiTheme="majorHAnsi" w:hAnsiTheme="majorHAnsi" w:cstheme="majorHAnsi"/>
          <w:b/>
          <w:bCs/>
          <w:i w:val="0"/>
          <w:iCs w:val="0"/>
          <w:color w:val="487B77" w:themeColor="accent6" w:themeShade="BF"/>
          <w:sz w:val="24"/>
          <w:szCs w:val="24"/>
          <w:lang w:val="el-GR"/>
        </w:rPr>
        <w:t>)</w:t>
      </w:r>
      <w:bookmarkEnd w:id="23"/>
    </w:p>
    <w:tbl>
      <w:tblPr>
        <w:tblStyle w:val="1-21"/>
        <w:tblW w:w="7769" w:type="dxa"/>
        <w:tblLook w:val="04A0" w:firstRow="1" w:lastRow="0" w:firstColumn="1" w:lastColumn="0" w:noHBand="0" w:noVBand="1"/>
      </w:tblPr>
      <w:tblGrid>
        <w:gridCol w:w="3929"/>
        <w:gridCol w:w="960"/>
        <w:gridCol w:w="960"/>
        <w:gridCol w:w="960"/>
        <w:gridCol w:w="960"/>
      </w:tblGrid>
      <w:tr w:rsidR="00A63CF4" w:rsidRPr="00A63CF4" w14:paraId="7C94C551" w14:textId="77777777" w:rsidTr="00A63C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54ECACE6"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rPr>
              <w:t> </w:t>
            </w:r>
          </w:p>
        </w:tc>
        <w:tc>
          <w:tcPr>
            <w:tcW w:w="960" w:type="dxa"/>
            <w:noWrap/>
            <w:hideMark/>
          </w:tcPr>
          <w:p w14:paraId="16B1E244" w14:textId="77777777" w:rsidR="00A63CF4" w:rsidRPr="00A63CF4" w:rsidRDefault="00A63CF4" w:rsidP="00A63CF4">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2020</w:t>
            </w:r>
          </w:p>
        </w:tc>
        <w:tc>
          <w:tcPr>
            <w:tcW w:w="960" w:type="dxa"/>
            <w:noWrap/>
            <w:hideMark/>
          </w:tcPr>
          <w:p w14:paraId="4141F94F" w14:textId="77777777" w:rsidR="00A63CF4" w:rsidRPr="00A63CF4" w:rsidRDefault="00A63CF4" w:rsidP="00A63CF4">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2021</w:t>
            </w:r>
          </w:p>
        </w:tc>
        <w:tc>
          <w:tcPr>
            <w:tcW w:w="960" w:type="dxa"/>
            <w:noWrap/>
            <w:hideMark/>
          </w:tcPr>
          <w:p w14:paraId="1B0624CB" w14:textId="77777777" w:rsidR="00A63CF4" w:rsidRPr="00A63CF4" w:rsidRDefault="00A63CF4" w:rsidP="00A63CF4">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2022</w:t>
            </w:r>
          </w:p>
        </w:tc>
        <w:tc>
          <w:tcPr>
            <w:tcW w:w="960" w:type="dxa"/>
            <w:noWrap/>
            <w:hideMark/>
          </w:tcPr>
          <w:p w14:paraId="55BE3219" w14:textId="77777777" w:rsidR="00A63CF4" w:rsidRPr="00A63CF4" w:rsidRDefault="00A63CF4" w:rsidP="00A63CF4">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2023</w:t>
            </w:r>
          </w:p>
        </w:tc>
      </w:tr>
      <w:tr w:rsidR="00A63CF4" w:rsidRPr="00A63CF4" w14:paraId="7C7BD52C"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7262A544"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Ευρωπαϊκή Ένωση - 27 χώρες (από το 2020)</w:t>
            </w:r>
          </w:p>
        </w:tc>
        <w:tc>
          <w:tcPr>
            <w:tcW w:w="960" w:type="dxa"/>
            <w:noWrap/>
            <w:hideMark/>
          </w:tcPr>
          <w:p w14:paraId="4D6B10D2"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14,45</w:t>
            </w:r>
          </w:p>
        </w:tc>
        <w:tc>
          <w:tcPr>
            <w:tcW w:w="960" w:type="dxa"/>
            <w:noWrap/>
            <w:hideMark/>
          </w:tcPr>
          <w:p w14:paraId="1F713084"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14,65</w:t>
            </w:r>
          </w:p>
        </w:tc>
        <w:tc>
          <w:tcPr>
            <w:tcW w:w="960" w:type="dxa"/>
            <w:noWrap/>
            <w:hideMark/>
          </w:tcPr>
          <w:p w14:paraId="545F04D4"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14,59</w:t>
            </w:r>
          </w:p>
        </w:tc>
        <w:tc>
          <w:tcPr>
            <w:tcW w:w="960" w:type="dxa"/>
            <w:noWrap/>
            <w:hideMark/>
          </w:tcPr>
          <w:p w14:paraId="5C4920CA"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w:t>
            </w:r>
          </w:p>
        </w:tc>
      </w:tr>
      <w:tr w:rsidR="00A63CF4" w:rsidRPr="00A63CF4" w14:paraId="65D1AB9A"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35ADF97D"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Γαλλία</w:t>
            </w:r>
          </w:p>
        </w:tc>
        <w:tc>
          <w:tcPr>
            <w:tcW w:w="960" w:type="dxa"/>
            <w:noWrap/>
            <w:hideMark/>
          </w:tcPr>
          <w:p w14:paraId="6E48F7AA"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8,98</w:t>
            </w:r>
          </w:p>
        </w:tc>
        <w:tc>
          <w:tcPr>
            <w:tcW w:w="960" w:type="dxa"/>
            <w:noWrap/>
            <w:hideMark/>
          </w:tcPr>
          <w:p w14:paraId="00522B00"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8,74</w:t>
            </w:r>
          </w:p>
        </w:tc>
        <w:tc>
          <w:tcPr>
            <w:tcW w:w="960" w:type="dxa"/>
            <w:noWrap/>
            <w:hideMark/>
          </w:tcPr>
          <w:p w14:paraId="6B484463"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8,92</w:t>
            </w:r>
          </w:p>
        </w:tc>
        <w:tc>
          <w:tcPr>
            <w:tcW w:w="960" w:type="dxa"/>
            <w:noWrap/>
            <w:hideMark/>
          </w:tcPr>
          <w:p w14:paraId="4E747C4E"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w:t>
            </w:r>
          </w:p>
        </w:tc>
      </w:tr>
      <w:tr w:rsidR="00A63CF4" w:rsidRPr="00A63CF4" w14:paraId="49DEEED1"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37B12908"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Λετονία</w:t>
            </w:r>
          </w:p>
        </w:tc>
        <w:tc>
          <w:tcPr>
            <w:tcW w:w="960" w:type="dxa"/>
            <w:noWrap/>
            <w:hideMark/>
          </w:tcPr>
          <w:p w14:paraId="227FFBF0"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31,87</w:t>
            </w:r>
          </w:p>
        </w:tc>
        <w:tc>
          <w:tcPr>
            <w:tcW w:w="960" w:type="dxa"/>
            <w:noWrap/>
            <w:hideMark/>
          </w:tcPr>
          <w:p w14:paraId="22F0EC79"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26,98</w:t>
            </w:r>
          </w:p>
        </w:tc>
        <w:tc>
          <w:tcPr>
            <w:tcW w:w="960" w:type="dxa"/>
            <w:noWrap/>
            <w:hideMark/>
          </w:tcPr>
          <w:p w14:paraId="0FAC9FF9"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30,74</w:t>
            </w:r>
          </w:p>
        </w:tc>
        <w:tc>
          <w:tcPr>
            <w:tcW w:w="960" w:type="dxa"/>
            <w:noWrap/>
            <w:hideMark/>
          </w:tcPr>
          <w:p w14:paraId="6C81C7E8"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w:t>
            </w:r>
          </w:p>
        </w:tc>
      </w:tr>
      <w:tr w:rsidR="00A63CF4" w:rsidRPr="00A63CF4" w14:paraId="23AB4AEC"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087C922F"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Μάλτα</w:t>
            </w:r>
          </w:p>
        </w:tc>
        <w:tc>
          <w:tcPr>
            <w:tcW w:w="960" w:type="dxa"/>
            <w:noWrap/>
            <w:hideMark/>
          </w:tcPr>
          <w:p w14:paraId="2E00C8C7"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30,3</w:t>
            </w:r>
          </w:p>
        </w:tc>
        <w:tc>
          <w:tcPr>
            <w:tcW w:w="960" w:type="dxa"/>
            <w:noWrap/>
            <w:hideMark/>
          </w:tcPr>
          <w:p w14:paraId="6F233A81"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29,67</w:t>
            </w:r>
          </w:p>
        </w:tc>
        <w:tc>
          <w:tcPr>
            <w:tcW w:w="960" w:type="dxa"/>
            <w:noWrap/>
            <w:hideMark/>
          </w:tcPr>
          <w:p w14:paraId="35885A41"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30,02</w:t>
            </w:r>
          </w:p>
        </w:tc>
        <w:tc>
          <w:tcPr>
            <w:tcW w:w="960" w:type="dxa"/>
            <w:noWrap/>
            <w:hideMark/>
          </w:tcPr>
          <w:p w14:paraId="4AFB3EF6"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w:t>
            </w:r>
          </w:p>
        </w:tc>
      </w:tr>
      <w:tr w:rsidR="00A63CF4" w:rsidRPr="00A63CF4" w14:paraId="4DA56EB0"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7D65F441"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Ρουμανία</w:t>
            </w:r>
          </w:p>
        </w:tc>
        <w:tc>
          <w:tcPr>
            <w:tcW w:w="960" w:type="dxa"/>
            <w:noWrap/>
            <w:hideMark/>
          </w:tcPr>
          <w:p w14:paraId="4B586E7A"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19,03</w:t>
            </w:r>
          </w:p>
        </w:tc>
        <w:tc>
          <w:tcPr>
            <w:tcW w:w="960" w:type="dxa"/>
            <w:noWrap/>
            <w:hideMark/>
          </w:tcPr>
          <w:p w14:paraId="1A932ABF"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20,94</w:t>
            </w:r>
          </w:p>
        </w:tc>
        <w:tc>
          <w:tcPr>
            <w:tcW w:w="960" w:type="dxa"/>
            <w:noWrap/>
            <w:hideMark/>
          </w:tcPr>
          <w:p w14:paraId="1ADB8E7F"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21,42</w:t>
            </w:r>
          </w:p>
        </w:tc>
        <w:tc>
          <w:tcPr>
            <w:tcW w:w="960" w:type="dxa"/>
            <w:noWrap/>
            <w:hideMark/>
          </w:tcPr>
          <w:p w14:paraId="73F65EF2"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w:t>
            </w:r>
          </w:p>
        </w:tc>
      </w:tr>
      <w:tr w:rsidR="00A63CF4" w:rsidRPr="00A63CF4" w14:paraId="7300F87C"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5E942AAE"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Φινλανδία</w:t>
            </w:r>
          </w:p>
        </w:tc>
        <w:tc>
          <w:tcPr>
            <w:tcW w:w="960" w:type="dxa"/>
            <w:noWrap/>
            <w:hideMark/>
          </w:tcPr>
          <w:p w14:paraId="75363FC2"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16,47</w:t>
            </w:r>
          </w:p>
        </w:tc>
        <w:tc>
          <w:tcPr>
            <w:tcW w:w="960" w:type="dxa"/>
            <w:noWrap/>
            <w:hideMark/>
          </w:tcPr>
          <w:p w14:paraId="3D38DA8E"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16,66</w:t>
            </w:r>
          </w:p>
        </w:tc>
        <w:tc>
          <w:tcPr>
            <w:tcW w:w="960" w:type="dxa"/>
            <w:noWrap/>
            <w:hideMark/>
          </w:tcPr>
          <w:p w14:paraId="492554C6"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16,1</w:t>
            </w:r>
          </w:p>
        </w:tc>
        <w:tc>
          <w:tcPr>
            <w:tcW w:w="960" w:type="dxa"/>
            <w:noWrap/>
            <w:hideMark/>
          </w:tcPr>
          <w:p w14:paraId="38320BF1"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w:t>
            </w:r>
          </w:p>
        </w:tc>
      </w:tr>
      <w:tr w:rsidR="00A63CF4" w:rsidRPr="00A63CF4" w14:paraId="6499EAF1"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0749A862"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Βουλγαρία</w:t>
            </w:r>
          </w:p>
        </w:tc>
        <w:tc>
          <w:tcPr>
            <w:tcW w:w="960" w:type="dxa"/>
            <w:noWrap/>
            <w:hideMark/>
          </w:tcPr>
          <w:p w14:paraId="2FCD6A7B"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35,53</w:t>
            </w:r>
          </w:p>
        </w:tc>
        <w:tc>
          <w:tcPr>
            <w:tcW w:w="960" w:type="dxa"/>
            <w:noWrap/>
            <w:hideMark/>
          </w:tcPr>
          <w:p w14:paraId="767AB0F8"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33,73</w:t>
            </w:r>
          </w:p>
        </w:tc>
        <w:tc>
          <w:tcPr>
            <w:tcW w:w="960" w:type="dxa"/>
            <w:noWrap/>
            <w:hideMark/>
          </w:tcPr>
          <w:p w14:paraId="5BE41473"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35,08</w:t>
            </w:r>
          </w:p>
        </w:tc>
        <w:tc>
          <w:tcPr>
            <w:tcW w:w="960" w:type="dxa"/>
            <w:noWrap/>
            <w:hideMark/>
          </w:tcPr>
          <w:p w14:paraId="57F17171"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35,5</w:t>
            </w:r>
          </w:p>
        </w:tc>
      </w:tr>
      <w:tr w:rsidR="00A63CF4" w:rsidRPr="00A63CF4" w14:paraId="5ABC215C"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7FD71928"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Ελλάδα</w:t>
            </w:r>
          </w:p>
        </w:tc>
        <w:tc>
          <w:tcPr>
            <w:tcW w:w="960" w:type="dxa"/>
            <w:noWrap/>
            <w:hideMark/>
          </w:tcPr>
          <w:p w14:paraId="79ED0C2A"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33,45</w:t>
            </w:r>
          </w:p>
        </w:tc>
        <w:tc>
          <w:tcPr>
            <w:tcW w:w="960" w:type="dxa"/>
            <w:noWrap/>
            <w:hideMark/>
          </w:tcPr>
          <w:p w14:paraId="15F8922F"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33,32</w:t>
            </w:r>
          </w:p>
        </w:tc>
        <w:tc>
          <w:tcPr>
            <w:tcW w:w="960" w:type="dxa"/>
            <w:noWrap/>
            <w:hideMark/>
          </w:tcPr>
          <w:p w14:paraId="7C0CD057"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33,54</w:t>
            </w:r>
          </w:p>
        </w:tc>
        <w:tc>
          <w:tcPr>
            <w:tcW w:w="960" w:type="dxa"/>
            <w:noWrap/>
            <w:hideMark/>
          </w:tcPr>
          <w:p w14:paraId="12A18D73"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34,3</w:t>
            </w:r>
          </w:p>
        </w:tc>
      </w:tr>
      <w:tr w:rsidR="00A63CF4" w:rsidRPr="00A63CF4" w14:paraId="66840895"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7E58A32E"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Λιθουανία</w:t>
            </w:r>
          </w:p>
        </w:tc>
        <w:tc>
          <w:tcPr>
            <w:tcW w:w="960" w:type="dxa"/>
            <w:noWrap/>
            <w:hideMark/>
          </w:tcPr>
          <w:p w14:paraId="297916F8"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28,66</w:t>
            </w:r>
          </w:p>
        </w:tc>
        <w:tc>
          <w:tcPr>
            <w:tcW w:w="960" w:type="dxa"/>
            <w:noWrap/>
            <w:hideMark/>
          </w:tcPr>
          <w:p w14:paraId="2572FA4B"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29,93</w:t>
            </w:r>
          </w:p>
        </w:tc>
        <w:tc>
          <w:tcPr>
            <w:tcW w:w="960" w:type="dxa"/>
            <w:noWrap/>
            <w:hideMark/>
          </w:tcPr>
          <w:p w14:paraId="46F8CCB0"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31,8</w:t>
            </w:r>
          </w:p>
        </w:tc>
        <w:tc>
          <w:tcPr>
            <w:tcW w:w="960" w:type="dxa"/>
            <w:noWrap/>
            <w:hideMark/>
          </w:tcPr>
          <w:p w14:paraId="51D153AE"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31,02</w:t>
            </w:r>
          </w:p>
        </w:tc>
      </w:tr>
      <w:tr w:rsidR="00A63CF4" w:rsidRPr="00A63CF4" w14:paraId="365DB5E2"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724A3C2E"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Πορτογαλία</w:t>
            </w:r>
          </w:p>
        </w:tc>
        <w:tc>
          <w:tcPr>
            <w:tcW w:w="960" w:type="dxa"/>
            <w:noWrap/>
            <w:hideMark/>
          </w:tcPr>
          <w:p w14:paraId="24F39AD0"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28,02</w:t>
            </w:r>
          </w:p>
        </w:tc>
        <w:tc>
          <w:tcPr>
            <w:tcW w:w="960" w:type="dxa"/>
            <w:noWrap/>
            <w:hideMark/>
          </w:tcPr>
          <w:p w14:paraId="3086D8D5"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29,12</w:t>
            </w:r>
          </w:p>
        </w:tc>
        <w:tc>
          <w:tcPr>
            <w:tcW w:w="960" w:type="dxa"/>
            <w:noWrap/>
            <w:hideMark/>
          </w:tcPr>
          <w:p w14:paraId="403930DB"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29,14</w:t>
            </w:r>
          </w:p>
        </w:tc>
        <w:tc>
          <w:tcPr>
            <w:tcW w:w="960" w:type="dxa"/>
            <w:noWrap/>
            <w:hideMark/>
          </w:tcPr>
          <w:p w14:paraId="6D14145A"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29,31</w:t>
            </w:r>
          </w:p>
        </w:tc>
      </w:tr>
      <w:tr w:rsidR="00A63CF4" w:rsidRPr="00A63CF4" w14:paraId="7A496800"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44177C3D"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Ιταλία</w:t>
            </w:r>
          </w:p>
        </w:tc>
        <w:tc>
          <w:tcPr>
            <w:tcW w:w="960" w:type="dxa"/>
            <w:noWrap/>
            <w:hideMark/>
          </w:tcPr>
          <w:p w14:paraId="54060188"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21,48</w:t>
            </w:r>
          </w:p>
        </w:tc>
        <w:tc>
          <w:tcPr>
            <w:tcW w:w="960" w:type="dxa"/>
            <w:noWrap/>
            <w:hideMark/>
          </w:tcPr>
          <w:p w14:paraId="0575A24A"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22,81</w:t>
            </w:r>
          </w:p>
        </w:tc>
        <w:tc>
          <w:tcPr>
            <w:tcW w:w="960" w:type="dxa"/>
            <w:noWrap/>
            <w:hideMark/>
          </w:tcPr>
          <w:p w14:paraId="0CDFA93B"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23,32</w:t>
            </w:r>
          </w:p>
        </w:tc>
        <w:tc>
          <w:tcPr>
            <w:tcW w:w="960" w:type="dxa"/>
            <w:noWrap/>
            <w:hideMark/>
          </w:tcPr>
          <w:p w14:paraId="7B6C06AF"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23,65</w:t>
            </w:r>
          </w:p>
        </w:tc>
      </w:tr>
      <w:tr w:rsidR="00A63CF4" w:rsidRPr="00A63CF4" w14:paraId="4BAAC887"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6D27AEB9"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Ουγγαρία</w:t>
            </w:r>
          </w:p>
        </w:tc>
        <w:tc>
          <w:tcPr>
            <w:tcW w:w="960" w:type="dxa"/>
            <w:noWrap/>
            <w:hideMark/>
          </w:tcPr>
          <w:p w14:paraId="2666F09C"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26,15</w:t>
            </w:r>
          </w:p>
        </w:tc>
        <w:tc>
          <w:tcPr>
            <w:tcW w:w="960" w:type="dxa"/>
            <w:noWrap/>
            <w:hideMark/>
          </w:tcPr>
          <w:p w14:paraId="56295ED2"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24,64</w:t>
            </w:r>
          </w:p>
        </w:tc>
        <w:tc>
          <w:tcPr>
            <w:tcW w:w="960" w:type="dxa"/>
            <w:noWrap/>
            <w:hideMark/>
          </w:tcPr>
          <w:p w14:paraId="0C278971"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24,01</w:t>
            </w:r>
          </w:p>
        </w:tc>
        <w:tc>
          <w:tcPr>
            <w:tcW w:w="960" w:type="dxa"/>
            <w:noWrap/>
            <w:hideMark/>
          </w:tcPr>
          <w:p w14:paraId="63D05DC9"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23,06</w:t>
            </w:r>
          </w:p>
        </w:tc>
      </w:tr>
      <w:tr w:rsidR="00A63CF4" w:rsidRPr="00A63CF4" w14:paraId="2523E4A0"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71DBBB15"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lastRenderedPageBreak/>
              <w:t>Εσθονία</w:t>
            </w:r>
          </w:p>
        </w:tc>
        <w:tc>
          <w:tcPr>
            <w:tcW w:w="960" w:type="dxa"/>
            <w:noWrap/>
            <w:hideMark/>
          </w:tcPr>
          <w:p w14:paraId="15A4FEE1"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21,43</w:t>
            </w:r>
          </w:p>
        </w:tc>
        <w:tc>
          <w:tcPr>
            <w:tcW w:w="960" w:type="dxa"/>
            <w:noWrap/>
            <w:hideMark/>
          </w:tcPr>
          <w:p w14:paraId="75D2C717"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22,15</w:t>
            </w:r>
          </w:p>
        </w:tc>
        <w:tc>
          <w:tcPr>
            <w:tcW w:w="960" w:type="dxa"/>
            <w:noWrap/>
            <w:hideMark/>
          </w:tcPr>
          <w:p w14:paraId="322CB6E4"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23,14</w:t>
            </w:r>
          </w:p>
        </w:tc>
        <w:tc>
          <w:tcPr>
            <w:tcW w:w="960" w:type="dxa"/>
            <w:noWrap/>
            <w:hideMark/>
          </w:tcPr>
          <w:p w14:paraId="78711447"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22,1</w:t>
            </w:r>
          </w:p>
        </w:tc>
      </w:tr>
      <w:tr w:rsidR="00A63CF4" w:rsidRPr="00A63CF4" w14:paraId="290E3F6B"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6D069947"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Βέλγιο</w:t>
            </w:r>
          </w:p>
        </w:tc>
        <w:tc>
          <w:tcPr>
            <w:tcW w:w="960" w:type="dxa"/>
            <w:noWrap/>
            <w:hideMark/>
          </w:tcPr>
          <w:p w14:paraId="313319C0"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19,3</w:t>
            </w:r>
          </w:p>
        </w:tc>
        <w:tc>
          <w:tcPr>
            <w:tcW w:w="960" w:type="dxa"/>
            <w:noWrap/>
            <w:hideMark/>
          </w:tcPr>
          <w:p w14:paraId="106FB664"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20,34</w:t>
            </w:r>
          </w:p>
        </w:tc>
        <w:tc>
          <w:tcPr>
            <w:tcW w:w="960" w:type="dxa"/>
            <w:noWrap/>
            <w:hideMark/>
          </w:tcPr>
          <w:p w14:paraId="28B4D36D"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21,41</w:t>
            </w:r>
          </w:p>
        </w:tc>
        <w:tc>
          <w:tcPr>
            <w:tcW w:w="960" w:type="dxa"/>
            <w:noWrap/>
            <w:hideMark/>
          </w:tcPr>
          <w:p w14:paraId="3C1FBFCF"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21,51</w:t>
            </w:r>
          </w:p>
        </w:tc>
      </w:tr>
      <w:tr w:rsidR="00A63CF4" w:rsidRPr="00A63CF4" w14:paraId="2581BFB5"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22A3AFD5"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Ισπανία</w:t>
            </w:r>
          </w:p>
        </w:tc>
        <w:tc>
          <w:tcPr>
            <w:tcW w:w="960" w:type="dxa"/>
            <w:noWrap/>
            <w:hideMark/>
          </w:tcPr>
          <w:p w14:paraId="7C9D4E8C"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21,66</w:t>
            </w:r>
          </w:p>
        </w:tc>
        <w:tc>
          <w:tcPr>
            <w:tcW w:w="960" w:type="dxa"/>
            <w:noWrap/>
            <w:hideMark/>
          </w:tcPr>
          <w:p w14:paraId="39DB5EB3"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21,3</w:t>
            </w:r>
          </w:p>
        </w:tc>
        <w:tc>
          <w:tcPr>
            <w:tcW w:w="960" w:type="dxa"/>
            <w:noWrap/>
            <w:hideMark/>
          </w:tcPr>
          <w:p w14:paraId="2FCCCD06"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21,03</w:t>
            </w:r>
          </w:p>
        </w:tc>
        <w:tc>
          <w:tcPr>
            <w:tcW w:w="960" w:type="dxa"/>
            <w:noWrap/>
            <w:hideMark/>
          </w:tcPr>
          <w:p w14:paraId="5EE22A68"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20,86</w:t>
            </w:r>
          </w:p>
        </w:tc>
      </w:tr>
      <w:tr w:rsidR="00A63CF4" w:rsidRPr="00A63CF4" w14:paraId="17F2FE04"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7DA45A1E"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Σλοβακία</w:t>
            </w:r>
          </w:p>
        </w:tc>
        <w:tc>
          <w:tcPr>
            <w:tcW w:w="960" w:type="dxa"/>
            <w:noWrap/>
            <w:hideMark/>
          </w:tcPr>
          <w:p w14:paraId="25222929"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18,75</w:t>
            </w:r>
          </w:p>
        </w:tc>
        <w:tc>
          <w:tcPr>
            <w:tcW w:w="960" w:type="dxa"/>
            <w:noWrap/>
            <w:hideMark/>
          </w:tcPr>
          <w:p w14:paraId="2A91D1E7"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19,4</w:t>
            </w:r>
          </w:p>
        </w:tc>
        <w:tc>
          <w:tcPr>
            <w:tcW w:w="960" w:type="dxa"/>
            <w:noWrap/>
            <w:hideMark/>
          </w:tcPr>
          <w:p w14:paraId="372E53C0"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19,26</w:t>
            </w:r>
          </w:p>
        </w:tc>
        <w:tc>
          <w:tcPr>
            <w:tcW w:w="960" w:type="dxa"/>
            <w:noWrap/>
            <w:hideMark/>
          </w:tcPr>
          <w:p w14:paraId="074FB582"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20,15</w:t>
            </w:r>
          </w:p>
        </w:tc>
      </w:tr>
      <w:tr w:rsidR="00A63CF4" w:rsidRPr="00A63CF4" w14:paraId="324E0E53"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6007A55C"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Κύπρος</w:t>
            </w:r>
          </w:p>
        </w:tc>
        <w:tc>
          <w:tcPr>
            <w:tcW w:w="960" w:type="dxa"/>
            <w:noWrap/>
            <w:hideMark/>
          </w:tcPr>
          <w:p w14:paraId="205FA652"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21,37</w:t>
            </w:r>
          </w:p>
        </w:tc>
        <w:tc>
          <w:tcPr>
            <w:tcW w:w="960" w:type="dxa"/>
            <w:noWrap/>
            <w:hideMark/>
          </w:tcPr>
          <w:p w14:paraId="107C60D9"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16,23</w:t>
            </w:r>
          </w:p>
        </w:tc>
        <w:tc>
          <w:tcPr>
            <w:tcW w:w="960" w:type="dxa"/>
            <w:noWrap/>
            <w:hideMark/>
          </w:tcPr>
          <w:p w14:paraId="0E9C1C22"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18,04</w:t>
            </w:r>
          </w:p>
        </w:tc>
        <w:tc>
          <w:tcPr>
            <w:tcW w:w="960" w:type="dxa"/>
            <w:noWrap/>
            <w:hideMark/>
          </w:tcPr>
          <w:p w14:paraId="15EFF9C7"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17,94</w:t>
            </w:r>
          </w:p>
        </w:tc>
      </w:tr>
      <w:tr w:rsidR="00A63CF4" w:rsidRPr="00A63CF4" w14:paraId="384A1E34"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7788677B"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Αυστρία</w:t>
            </w:r>
          </w:p>
        </w:tc>
        <w:tc>
          <w:tcPr>
            <w:tcW w:w="960" w:type="dxa"/>
            <w:noWrap/>
            <w:hideMark/>
          </w:tcPr>
          <w:p w14:paraId="46F6D803"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17,17</w:t>
            </w:r>
          </w:p>
        </w:tc>
        <w:tc>
          <w:tcPr>
            <w:tcW w:w="960" w:type="dxa"/>
            <w:noWrap/>
            <w:hideMark/>
          </w:tcPr>
          <w:p w14:paraId="06C9CE86"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16,03</w:t>
            </w:r>
          </w:p>
        </w:tc>
        <w:tc>
          <w:tcPr>
            <w:tcW w:w="960" w:type="dxa"/>
            <w:noWrap/>
            <w:hideMark/>
          </w:tcPr>
          <w:p w14:paraId="07049F95"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16,29</w:t>
            </w:r>
          </w:p>
        </w:tc>
        <w:tc>
          <w:tcPr>
            <w:tcW w:w="960" w:type="dxa"/>
            <w:noWrap/>
            <w:hideMark/>
          </w:tcPr>
          <w:p w14:paraId="576AD3BF"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16,48</w:t>
            </w:r>
          </w:p>
        </w:tc>
      </w:tr>
      <w:tr w:rsidR="00A63CF4" w:rsidRPr="00A63CF4" w14:paraId="603109BD"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0E75863D"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Πολωνία</w:t>
            </w:r>
          </w:p>
        </w:tc>
        <w:tc>
          <w:tcPr>
            <w:tcW w:w="960" w:type="dxa"/>
            <w:noWrap/>
            <w:hideMark/>
          </w:tcPr>
          <w:p w14:paraId="4DAB815D"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19,53</w:t>
            </w:r>
          </w:p>
        </w:tc>
        <w:tc>
          <w:tcPr>
            <w:tcW w:w="960" w:type="dxa"/>
            <w:noWrap/>
            <w:hideMark/>
          </w:tcPr>
          <w:p w14:paraId="478EB742"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19,85</w:t>
            </w:r>
          </w:p>
        </w:tc>
        <w:tc>
          <w:tcPr>
            <w:tcW w:w="960" w:type="dxa"/>
            <w:noWrap/>
            <w:hideMark/>
          </w:tcPr>
          <w:p w14:paraId="49193D16"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18,84</w:t>
            </w:r>
          </w:p>
        </w:tc>
        <w:tc>
          <w:tcPr>
            <w:tcW w:w="960" w:type="dxa"/>
            <w:noWrap/>
            <w:hideMark/>
          </w:tcPr>
          <w:p w14:paraId="68495439"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16,19</w:t>
            </w:r>
          </w:p>
        </w:tc>
      </w:tr>
      <w:tr w:rsidR="00A63CF4" w:rsidRPr="00A63CF4" w14:paraId="2B300258"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544F7B3D"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Τσεχία</w:t>
            </w:r>
          </w:p>
        </w:tc>
        <w:tc>
          <w:tcPr>
            <w:tcW w:w="960" w:type="dxa"/>
            <w:noWrap/>
            <w:hideMark/>
          </w:tcPr>
          <w:p w14:paraId="0837BC5D"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11,08</w:t>
            </w:r>
          </w:p>
        </w:tc>
        <w:tc>
          <w:tcPr>
            <w:tcW w:w="960" w:type="dxa"/>
            <w:noWrap/>
            <w:hideMark/>
          </w:tcPr>
          <w:p w14:paraId="5D41F029"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12,48</w:t>
            </w:r>
          </w:p>
        </w:tc>
        <w:tc>
          <w:tcPr>
            <w:tcW w:w="960" w:type="dxa"/>
            <w:noWrap/>
            <w:hideMark/>
          </w:tcPr>
          <w:p w14:paraId="45A72D76"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14,29</w:t>
            </w:r>
          </w:p>
        </w:tc>
        <w:tc>
          <w:tcPr>
            <w:tcW w:w="960" w:type="dxa"/>
            <w:noWrap/>
            <w:hideMark/>
          </w:tcPr>
          <w:p w14:paraId="3987D62B"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14,07</w:t>
            </w:r>
          </w:p>
        </w:tc>
      </w:tr>
      <w:tr w:rsidR="00A63CF4" w:rsidRPr="00A63CF4" w14:paraId="37672681"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6BD6B1D3"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Δανία</w:t>
            </w:r>
          </w:p>
        </w:tc>
        <w:tc>
          <w:tcPr>
            <w:tcW w:w="960" w:type="dxa"/>
            <w:noWrap/>
            <w:hideMark/>
          </w:tcPr>
          <w:p w14:paraId="2670CCE9"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13,38</w:t>
            </w:r>
          </w:p>
        </w:tc>
        <w:tc>
          <w:tcPr>
            <w:tcW w:w="960" w:type="dxa"/>
            <w:noWrap/>
            <w:hideMark/>
          </w:tcPr>
          <w:p w14:paraId="5071D7CB"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13,3</w:t>
            </w:r>
          </w:p>
        </w:tc>
        <w:tc>
          <w:tcPr>
            <w:tcW w:w="960" w:type="dxa"/>
            <w:noWrap/>
            <w:hideMark/>
          </w:tcPr>
          <w:p w14:paraId="3A7055B9"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13,19</w:t>
            </w:r>
          </w:p>
        </w:tc>
        <w:tc>
          <w:tcPr>
            <w:tcW w:w="960" w:type="dxa"/>
            <w:noWrap/>
            <w:hideMark/>
          </w:tcPr>
          <w:p w14:paraId="02955EEC"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13,98</w:t>
            </w:r>
          </w:p>
        </w:tc>
      </w:tr>
      <w:tr w:rsidR="00A63CF4" w:rsidRPr="00A63CF4" w14:paraId="64A03081"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0B3CE122"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Σουηδία</w:t>
            </w:r>
          </w:p>
        </w:tc>
        <w:tc>
          <w:tcPr>
            <w:tcW w:w="960" w:type="dxa"/>
            <w:noWrap/>
            <w:hideMark/>
          </w:tcPr>
          <w:p w14:paraId="39959DA8"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12,92</w:t>
            </w:r>
          </w:p>
        </w:tc>
        <w:tc>
          <w:tcPr>
            <w:tcW w:w="960" w:type="dxa"/>
            <w:noWrap/>
            <w:hideMark/>
          </w:tcPr>
          <w:p w14:paraId="3BCE1ABC"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13,09</w:t>
            </w:r>
          </w:p>
        </w:tc>
        <w:tc>
          <w:tcPr>
            <w:tcW w:w="960" w:type="dxa"/>
            <w:noWrap/>
            <w:hideMark/>
          </w:tcPr>
          <w:p w14:paraId="6CE47CEE"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13,13</w:t>
            </w:r>
          </w:p>
        </w:tc>
        <w:tc>
          <w:tcPr>
            <w:tcW w:w="960" w:type="dxa"/>
            <w:noWrap/>
            <w:hideMark/>
          </w:tcPr>
          <w:p w14:paraId="1499A01D"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12,96</w:t>
            </w:r>
          </w:p>
        </w:tc>
      </w:tr>
      <w:tr w:rsidR="00A63CF4" w:rsidRPr="00A63CF4" w14:paraId="40F21E02"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7071B900"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Σλοβενία</w:t>
            </w:r>
          </w:p>
        </w:tc>
        <w:tc>
          <w:tcPr>
            <w:tcW w:w="960" w:type="dxa"/>
            <w:noWrap/>
            <w:hideMark/>
          </w:tcPr>
          <w:p w14:paraId="55D323AB"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12,47</w:t>
            </w:r>
          </w:p>
        </w:tc>
        <w:tc>
          <w:tcPr>
            <w:tcW w:w="960" w:type="dxa"/>
            <w:noWrap/>
            <w:hideMark/>
          </w:tcPr>
          <w:p w14:paraId="200C3BE7"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12,88</w:t>
            </w:r>
          </w:p>
        </w:tc>
        <w:tc>
          <w:tcPr>
            <w:tcW w:w="960" w:type="dxa"/>
            <w:noWrap/>
            <w:hideMark/>
          </w:tcPr>
          <w:p w14:paraId="1062CC29"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12,43</w:t>
            </w:r>
          </w:p>
        </w:tc>
        <w:tc>
          <w:tcPr>
            <w:tcW w:w="960" w:type="dxa"/>
            <w:noWrap/>
            <w:hideMark/>
          </w:tcPr>
          <w:p w14:paraId="393F000F"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12,39</w:t>
            </w:r>
          </w:p>
        </w:tc>
      </w:tr>
      <w:tr w:rsidR="00A63CF4" w:rsidRPr="00A63CF4" w14:paraId="1D90EA48"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23761569"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Ολλανδία</w:t>
            </w:r>
          </w:p>
        </w:tc>
        <w:tc>
          <w:tcPr>
            <w:tcW w:w="960" w:type="dxa"/>
            <w:noWrap/>
            <w:hideMark/>
          </w:tcPr>
          <w:p w14:paraId="04201917"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9,28</w:t>
            </w:r>
          </w:p>
        </w:tc>
        <w:tc>
          <w:tcPr>
            <w:tcW w:w="960" w:type="dxa"/>
            <w:noWrap/>
            <w:hideMark/>
          </w:tcPr>
          <w:p w14:paraId="5E6F46D1"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10,91</w:t>
            </w:r>
          </w:p>
        </w:tc>
        <w:tc>
          <w:tcPr>
            <w:tcW w:w="960" w:type="dxa"/>
            <w:noWrap/>
            <w:hideMark/>
          </w:tcPr>
          <w:p w14:paraId="6DFCBA5B"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11,93</w:t>
            </w:r>
          </w:p>
        </w:tc>
        <w:tc>
          <w:tcPr>
            <w:tcW w:w="960" w:type="dxa"/>
            <w:noWrap/>
            <w:hideMark/>
          </w:tcPr>
          <w:p w14:paraId="13862D9F"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12,03</w:t>
            </w:r>
          </w:p>
        </w:tc>
      </w:tr>
      <w:tr w:rsidR="00A63CF4" w:rsidRPr="00A63CF4" w14:paraId="4DB81E5D"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5B788480"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Ιρλανδία</w:t>
            </w:r>
          </w:p>
        </w:tc>
        <w:tc>
          <w:tcPr>
            <w:tcW w:w="960" w:type="dxa"/>
            <w:noWrap/>
            <w:hideMark/>
          </w:tcPr>
          <w:p w14:paraId="3980131E"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11,44</w:t>
            </w:r>
          </w:p>
        </w:tc>
        <w:tc>
          <w:tcPr>
            <w:tcW w:w="960" w:type="dxa"/>
            <w:noWrap/>
            <w:hideMark/>
          </w:tcPr>
          <w:p w14:paraId="016A3FF7"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11,53</w:t>
            </w:r>
          </w:p>
        </w:tc>
        <w:tc>
          <w:tcPr>
            <w:tcW w:w="960" w:type="dxa"/>
            <w:noWrap/>
            <w:hideMark/>
          </w:tcPr>
          <w:p w14:paraId="6424A6F1"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11,55</w:t>
            </w:r>
          </w:p>
        </w:tc>
        <w:tc>
          <w:tcPr>
            <w:tcW w:w="960" w:type="dxa"/>
            <w:noWrap/>
            <w:hideMark/>
          </w:tcPr>
          <w:p w14:paraId="6D255EF0"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11,3</w:t>
            </w:r>
          </w:p>
        </w:tc>
      </w:tr>
      <w:tr w:rsidR="00A63CF4" w:rsidRPr="00A63CF4" w14:paraId="0FB0E906"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2B71B552"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Γερμανία</w:t>
            </w:r>
          </w:p>
        </w:tc>
        <w:tc>
          <w:tcPr>
            <w:tcW w:w="960" w:type="dxa"/>
            <w:noWrap/>
            <w:hideMark/>
          </w:tcPr>
          <w:p w14:paraId="4445D4F8"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11,34</w:t>
            </w:r>
          </w:p>
        </w:tc>
        <w:tc>
          <w:tcPr>
            <w:tcW w:w="960" w:type="dxa"/>
            <w:noWrap/>
            <w:hideMark/>
          </w:tcPr>
          <w:p w14:paraId="46080130"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11,36</w:t>
            </w:r>
          </w:p>
        </w:tc>
        <w:tc>
          <w:tcPr>
            <w:tcW w:w="960" w:type="dxa"/>
            <w:noWrap/>
            <w:hideMark/>
          </w:tcPr>
          <w:p w14:paraId="3C227923"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10,43</w:t>
            </w:r>
          </w:p>
        </w:tc>
        <w:tc>
          <w:tcPr>
            <w:tcW w:w="960" w:type="dxa"/>
            <w:noWrap/>
            <w:hideMark/>
          </w:tcPr>
          <w:p w14:paraId="118E005F"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11,05</w:t>
            </w:r>
          </w:p>
        </w:tc>
      </w:tr>
      <w:tr w:rsidR="00A63CF4" w:rsidRPr="00A63CF4" w14:paraId="0AFF39AB"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10E83A9D"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Κροατία</w:t>
            </w:r>
          </w:p>
        </w:tc>
        <w:tc>
          <w:tcPr>
            <w:tcW w:w="960" w:type="dxa"/>
            <w:noWrap/>
            <w:hideMark/>
          </w:tcPr>
          <w:p w14:paraId="381D4BB0"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10,45</w:t>
            </w:r>
          </w:p>
        </w:tc>
        <w:tc>
          <w:tcPr>
            <w:tcW w:w="960" w:type="dxa"/>
            <w:noWrap/>
            <w:hideMark/>
          </w:tcPr>
          <w:p w14:paraId="56ED70AF"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9,4</w:t>
            </w:r>
          </w:p>
        </w:tc>
        <w:tc>
          <w:tcPr>
            <w:tcW w:w="960" w:type="dxa"/>
            <w:noWrap/>
            <w:hideMark/>
          </w:tcPr>
          <w:p w14:paraId="6E08C9EE"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9,19</w:t>
            </w:r>
          </w:p>
        </w:tc>
        <w:tc>
          <w:tcPr>
            <w:tcW w:w="960" w:type="dxa"/>
            <w:noWrap/>
            <w:hideMark/>
          </w:tcPr>
          <w:p w14:paraId="62379FED"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9,38</w:t>
            </w:r>
          </w:p>
        </w:tc>
      </w:tr>
      <w:tr w:rsidR="00A63CF4" w:rsidRPr="00A63CF4" w14:paraId="123C42DC" w14:textId="77777777" w:rsidTr="00A63CF4">
        <w:trPr>
          <w:trHeight w:val="300"/>
        </w:trPr>
        <w:tc>
          <w:tcPr>
            <w:cnfStyle w:val="001000000000" w:firstRow="0" w:lastRow="0" w:firstColumn="1" w:lastColumn="0" w:oddVBand="0" w:evenVBand="0" w:oddHBand="0" w:evenHBand="0" w:firstRowFirstColumn="0" w:firstRowLastColumn="0" w:lastRowFirstColumn="0" w:lastRowLastColumn="0"/>
            <w:tcW w:w="3929" w:type="dxa"/>
            <w:noWrap/>
            <w:hideMark/>
          </w:tcPr>
          <w:p w14:paraId="7C53FE2E" w14:textId="77777777" w:rsidR="00A63CF4" w:rsidRPr="00A63CF4" w:rsidRDefault="00A63CF4" w:rsidP="00A63CF4">
            <w:pPr>
              <w:jc w:val="both"/>
              <w:rPr>
                <w:rFonts w:asciiTheme="majorHAnsi" w:hAnsiTheme="majorHAnsi" w:cstheme="majorHAnsi"/>
                <w:lang w:val="el-GR"/>
              </w:rPr>
            </w:pPr>
            <w:r w:rsidRPr="00A63CF4">
              <w:rPr>
                <w:rFonts w:asciiTheme="majorHAnsi" w:hAnsiTheme="majorHAnsi" w:cstheme="majorHAnsi"/>
                <w:lang w:val="el-GR"/>
              </w:rPr>
              <w:t>Λουξεμβούργο</w:t>
            </w:r>
          </w:p>
        </w:tc>
        <w:tc>
          <w:tcPr>
            <w:tcW w:w="960" w:type="dxa"/>
            <w:noWrap/>
            <w:hideMark/>
          </w:tcPr>
          <w:p w14:paraId="3D4B193B"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8,39</w:t>
            </w:r>
          </w:p>
        </w:tc>
        <w:tc>
          <w:tcPr>
            <w:tcW w:w="960" w:type="dxa"/>
            <w:noWrap/>
            <w:hideMark/>
          </w:tcPr>
          <w:p w14:paraId="0513C348"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8,8</w:t>
            </w:r>
          </w:p>
        </w:tc>
        <w:tc>
          <w:tcPr>
            <w:tcW w:w="960" w:type="dxa"/>
            <w:noWrap/>
            <w:hideMark/>
          </w:tcPr>
          <w:p w14:paraId="62374246"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8,67</w:t>
            </w:r>
          </w:p>
        </w:tc>
        <w:tc>
          <w:tcPr>
            <w:tcW w:w="960" w:type="dxa"/>
            <w:noWrap/>
            <w:hideMark/>
          </w:tcPr>
          <w:p w14:paraId="7CF65C34" w14:textId="77777777" w:rsidR="00A63CF4" w:rsidRPr="00A63CF4" w:rsidRDefault="00A63CF4" w:rsidP="00A63CF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l-GR"/>
              </w:rPr>
            </w:pPr>
            <w:r w:rsidRPr="00A63CF4">
              <w:rPr>
                <w:rFonts w:asciiTheme="majorHAnsi" w:hAnsiTheme="majorHAnsi" w:cstheme="majorHAnsi"/>
                <w:lang w:val="el-GR"/>
              </w:rPr>
              <w:t>8,77</w:t>
            </w:r>
          </w:p>
        </w:tc>
      </w:tr>
    </w:tbl>
    <w:p w14:paraId="2CDDB117" w14:textId="77777777" w:rsidR="00A63CF4" w:rsidRPr="00A63CF4" w:rsidRDefault="00A63CF4" w:rsidP="00A63CF4">
      <w:pPr>
        <w:jc w:val="both"/>
        <w:rPr>
          <w:sz w:val="24"/>
          <w:szCs w:val="24"/>
          <w:lang w:val="el-GR"/>
        </w:rPr>
      </w:pPr>
    </w:p>
    <w:p w14:paraId="4FDF778D" w14:textId="28E39A91" w:rsidR="00A63CF4" w:rsidRPr="00A63CF4" w:rsidRDefault="00A63CF4" w:rsidP="00A63CF4">
      <w:pPr>
        <w:jc w:val="both"/>
        <w:rPr>
          <w:sz w:val="24"/>
          <w:szCs w:val="24"/>
          <w:lang w:val="el-GR"/>
        </w:rPr>
      </w:pPr>
      <w:r w:rsidRPr="00A63CF4">
        <w:rPr>
          <w:sz w:val="24"/>
          <w:szCs w:val="24"/>
          <w:lang w:val="el-GR"/>
        </w:rPr>
        <w:t>Η Ελλάδα καταγράφει τη δεύτερη υψηλότερη τιμή στην ΕΕ των 27 στον δείκτη «</w:t>
      </w:r>
      <w:r w:rsidRPr="00A63CF4">
        <w:rPr>
          <w:sz w:val="24"/>
          <w:szCs w:val="24"/>
        </w:rPr>
        <w:t>out</w:t>
      </w:r>
      <w:r w:rsidRPr="00A63CF4">
        <w:rPr>
          <w:sz w:val="24"/>
          <w:szCs w:val="24"/>
          <w:lang w:val="el-GR"/>
        </w:rPr>
        <w:t xml:space="preserve">- </w:t>
      </w:r>
      <w:r w:rsidRPr="00A63CF4">
        <w:rPr>
          <w:sz w:val="24"/>
          <w:szCs w:val="24"/>
        </w:rPr>
        <w:t>of</w:t>
      </w:r>
      <w:r w:rsidRPr="00A63CF4">
        <w:rPr>
          <w:sz w:val="24"/>
          <w:szCs w:val="24"/>
          <w:lang w:val="el-GR"/>
        </w:rPr>
        <w:t xml:space="preserve"> -</w:t>
      </w:r>
      <w:r w:rsidRPr="00A63CF4">
        <w:rPr>
          <w:sz w:val="24"/>
          <w:szCs w:val="24"/>
        </w:rPr>
        <w:t>pocket</w:t>
      </w:r>
      <w:r w:rsidRPr="00A63CF4">
        <w:rPr>
          <w:sz w:val="24"/>
          <w:szCs w:val="24"/>
          <w:lang w:val="el-GR"/>
        </w:rPr>
        <w:t xml:space="preserve"> </w:t>
      </w:r>
      <w:r w:rsidRPr="00A63CF4">
        <w:rPr>
          <w:sz w:val="24"/>
          <w:szCs w:val="24"/>
        </w:rPr>
        <w:t>expenditure</w:t>
      </w:r>
      <w:r w:rsidRPr="00A63CF4">
        <w:rPr>
          <w:sz w:val="24"/>
          <w:szCs w:val="24"/>
          <w:lang w:val="el-GR"/>
        </w:rPr>
        <w:t xml:space="preserve"> </w:t>
      </w:r>
      <w:r w:rsidRPr="00A63CF4">
        <w:rPr>
          <w:sz w:val="24"/>
          <w:szCs w:val="24"/>
        </w:rPr>
        <w:t>on</w:t>
      </w:r>
      <w:r w:rsidRPr="00A63CF4">
        <w:rPr>
          <w:sz w:val="24"/>
          <w:szCs w:val="24"/>
          <w:lang w:val="el-GR"/>
        </w:rPr>
        <w:t xml:space="preserve"> </w:t>
      </w:r>
      <w:r w:rsidRPr="00A63CF4">
        <w:rPr>
          <w:sz w:val="24"/>
          <w:szCs w:val="24"/>
        </w:rPr>
        <w:t>health</w:t>
      </w:r>
      <w:r w:rsidRPr="00A63CF4">
        <w:rPr>
          <w:sz w:val="24"/>
          <w:szCs w:val="24"/>
          <w:lang w:val="el-GR"/>
        </w:rPr>
        <w:t>», δηλαδή στο ποσοστό των δαπανών για την υγεία που πληρώνονται απευθείας από την τσέπη του νοικοκυριού, το οποίο, το 2023 ανέρχεται σε 34,3%</w:t>
      </w:r>
      <w:r w:rsidRPr="00A63CF4">
        <w:rPr>
          <w:sz w:val="24"/>
          <w:szCs w:val="24"/>
          <w:vertAlign w:val="superscript"/>
          <w:lang w:val="el-GR"/>
        </w:rPr>
        <w:footnoteReference w:id="5"/>
      </w:r>
      <w:r w:rsidRPr="00A63CF4">
        <w:rPr>
          <w:sz w:val="24"/>
          <w:szCs w:val="24"/>
          <w:lang w:val="el-GR"/>
        </w:rPr>
        <w:t xml:space="preserve">, ποσοστό δηλαδή υπερδιπλάσιο του ευρωπαϊκού μέσου όρου. </w:t>
      </w:r>
    </w:p>
    <w:p w14:paraId="2BEF99C7" w14:textId="5B434B4E" w:rsidR="00561CA1" w:rsidRPr="007C2B56" w:rsidRDefault="007C2B56" w:rsidP="007C2B56">
      <w:pPr>
        <w:jc w:val="both"/>
        <w:rPr>
          <w:sz w:val="24"/>
          <w:szCs w:val="24"/>
        </w:rPr>
      </w:pPr>
      <w:r>
        <w:rPr>
          <w:noProof/>
        </w:rPr>
        <w:drawing>
          <wp:anchor distT="0" distB="0" distL="114300" distR="114300" simplePos="0" relativeHeight="251662336" behindDoc="0" locked="0" layoutInCell="1" allowOverlap="1" wp14:anchorId="38A79D05" wp14:editId="624B0BA2">
            <wp:simplePos x="0" y="0"/>
            <wp:positionH relativeFrom="margin">
              <wp:posOffset>-30397</wp:posOffset>
            </wp:positionH>
            <wp:positionV relativeFrom="margin">
              <wp:posOffset>7248525</wp:posOffset>
            </wp:positionV>
            <wp:extent cx="5239385" cy="494665"/>
            <wp:effectExtent l="0" t="0" r="5715" b="635"/>
            <wp:wrapSquare wrapText="bothSides"/>
            <wp:docPr id="1442005268"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9385" cy="494665"/>
                    </a:xfrm>
                    <a:prstGeom prst="rect">
                      <a:avLst/>
                    </a:prstGeom>
                    <a:noFill/>
                    <a:ln>
                      <a:noFill/>
                    </a:ln>
                  </pic:spPr>
                </pic:pic>
              </a:graphicData>
            </a:graphic>
          </wp:anchor>
        </w:drawing>
      </w:r>
      <w:r w:rsidR="00A63CF4" w:rsidRPr="00A63CF4">
        <w:rPr>
          <w:sz w:val="24"/>
          <w:szCs w:val="24"/>
          <w:lang w:val="el-GR"/>
        </w:rPr>
        <w:t xml:space="preserve">Συνολικά, η εξάρτηση της υγείας από την ιδιωτική δαπάνη στην Ελλάδα ανέρχεται το 2023 στο </w:t>
      </w:r>
      <w:r w:rsidR="00A63CF4" w:rsidRPr="00A63CF4">
        <w:rPr>
          <w:b/>
          <w:bCs/>
          <w:sz w:val="24"/>
          <w:szCs w:val="24"/>
          <w:lang w:val="el-GR"/>
        </w:rPr>
        <w:t xml:space="preserve">ιδιαίτερο υψηλό ποσοστό του 39% επί της συνολική δαπάνης υγείας </w:t>
      </w:r>
      <w:r w:rsidR="00A63CF4" w:rsidRPr="00025553">
        <w:rPr>
          <w:sz w:val="24"/>
          <w:szCs w:val="24"/>
          <w:lang w:val="el-GR"/>
        </w:rPr>
        <w:t>(αφορά όχι μόνο τις άμεσες ιδιωτικές πληρωμές αλλά και τις δαπάνες για ιδιωτική ασφάλιση υγείας),</w:t>
      </w:r>
      <w:r w:rsidR="00A63CF4" w:rsidRPr="00A63CF4">
        <w:rPr>
          <w:sz w:val="24"/>
          <w:szCs w:val="24"/>
          <w:lang w:val="el-GR"/>
        </w:rPr>
        <w:t xml:space="preserve"> ενώ από το 2020 και έπειτα καταγράφει σταθερή αύξηση που σωρευτικά ανήλθε σε ποσοστό της τάξεως του 28% (από 5.729 εκατ. Ευρώ το 2019 σε 7.303 εκατ. Ευρώ το 2023)</w:t>
      </w:r>
      <w:r w:rsidR="00A63CF4" w:rsidRPr="00A63CF4">
        <w:rPr>
          <w:sz w:val="24"/>
          <w:szCs w:val="24"/>
          <w:vertAlign w:val="superscript"/>
          <w:lang w:val="el-GR"/>
        </w:rPr>
        <w:footnoteReference w:id="6"/>
      </w:r>
      <w:r w:rsidR="00A63CF4" w:rsidRPr="00A63CF4">
        <w:rPr>
          <w:sz w:val="24"/>
          <w:szCs w:val="24"/>
          <w:lang w:val="el-GR"/>
        </w:rPr>
        <w:t xml:space="preserve">. </w:t>
      </w:r>
    </w:p>
    <w:sectPr w:rsidR="00561CA1" w:rsidRPr="007C2B56" w:rsidSect="00BB1D26">
      <w:headerReference w:type="default" r:id="rId16"/>
      <w:footerReference w:type="default" r:id="rId17"/>
      <w:headerReference w:type="first" r:id="rId18"/>
      <w:footerReference w:type="first" r:id="rId19"/>
      <w:pgSz w:w="11906" w:h="16838"/>
      <w:pgMar w:top="1985" w:right="1559" w:bottom="1440" w:left="198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93A24" w14:textId="77777777" w:rsidR="00AA1EE6" w:rsidRDefault="00AA1EE6">
      <w:pPr>
        <w:spacing w:line="240" w:lineRule="auto"/>
      </w:pPr>
      <w:r>
        <w:separator/>
      </w:r>
    </w:p>
  </w:endnote>
  <w:endnote w:type="continuationSeparator" w:id="0">
    <w:p w14:paraId="6E5F2DCA" w14:textId="77777777" w:rsidR="00AA1EE6" w:rsidRDefault="00AA1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tantia">
    <w:panose1 w:val="02030602050306030303"/>
    <w:charset w:val="A1"/>
    <w:family w:val="roman"/>
    <w:pitch w:val="variable"/>
    <w:sig w:usb0="A00002EF" w:usb1="4000204B" w:usb2="00000000" w:usb3="00000000" w:csb0="0000019F" w:csb1="00000000"/>
  </w:font>
  <w:font w:name="Arial (Body CS)">
    <w:panose1 w:val="00000000000000000000"/>
    <w:charset w:val="00"/>
    <w:family w:val="roman"/>
    <w:notTrueType/>
    <w:pitch w:val="default"/>
  </w:font>
  <w:font w:name="Arial Black">
    <w:panose1 w:val="020B0A04020102020204"/>
    <w:charset w:val="A1"/>
    <w:family w:val="swiss"/>
    <w:pitch w:val="variable"/>
    <w:sig w:usb0="A00002AF" w:usb1="400078FB" w:usb2="00000000" w:usb3="00000000" w:csb0="0000009F" w:csb1="00000000"/>
  </w:font>
  <w:font w:name="Arial Nova Light">
    <w:charset w:val="00"/>
    <w:family w:val="swiss"/>
    <w:pitch w:val="variable"/>
    <w:sig w:usb0="0000028F" w:usb1="00000002"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27BE" w14:textId="77777777" w:rsidR="007D51AE" w:rsidRDefault="00000000">
    <w:pPr>
      <w:pStyle w:val="a9"/>
      <w:ind w:left="-1701" w:right="140"/>
      <w:jc w:val="right"/>
      <w:rPr>
        <w:lang w:val="el-GR"/>
      </w:rPr>
    </w:pPr>
    <w:r>
      <w:rPr>
        <w:rFonts w:asciiTheme="majorHAnsi" w:eastAsiaTheme="majorEastAsia" w:hAnsiTheme="majorHAnsi" w:cstheme="majorBidi"/>
        <w:sz w:val="20"/>
        <w:szCs w:val="20"/>
        <w:lang w:val="el-GR"/>
      </w:rPr>
      <w:t xml:space="preserve">σελ. </w:t>
    </w:r>
    <w:r>
      <w:rPr>
        <w:rFonts w:eastAsiaTheme="minorEastAsia"/>
        <w:sz w:val="20"/>
        <w:szCs w:val="20"/>
        <w:lang w:val="el-GR"/>
      </w:rPr>
      <w:fldChar w:fldCharType="begin"/>
    </w:r>
    <w:r>
      <w:rPr>
        <w:sz w:val="20"/>
        <w:szCs w:val="20"/>
        <w:lang w:val="el-GR"/>
      </w:rPr>
      <w:instrText>PAGE    \* MERGEFORMAT</w:instrText>
    </w:r>
    <w:r>
      <w:rPr>
        <w:rFonts w:eastAsiaTheme="minorEastAsia"/>
        <w:sz w:val="20"/>
        <w:szCs w:val="20"/>
        <w:lang w:val="el-GR"/>
      </w:rPr>
      <w:fldChar w:fldCharType="separate"/>
    </w:r>
    <w:r>
      <w:rPr>
        <w:rFonts w:eastAsiaTheme="minorEastAsia"/>
        <w:sz w:val="20"/>
        <w:szCs w:val="20"/>
        <w:lang w:val="el-GR"/>
      </w:rPr>
      <w:t>23</w:t>
    </w:r>
    <w:r>
      <w:rPr>
        <w:rFonts w:asciiTheme="majorHAnsi" w:eastAsiaTheme="majorEastAsia" w:hAnsiTheme="majorHAnsi" w:cstheme="majorBidi"/>
        <w:sz w:val="20"/>
        <w:szCs w:val="20"/>
        <w:lang w:val="el-GR"/>
      </w:rPr>
      <w:fldChar w:fldCharType="end"/>
    </w:r>
  </w:p>
  <w:p w14:paraId="2FE950C2" w14:textId="77777777" w:rsidR="007D51AE" w:rsidRDefault="00000000">
    <w:pPr>
      <w:pStyle w:val="a9"/>
    </w:pPr>
    <w:r>
      <w:rPr>
        <w:noProof/>
        <w:lang w:val="el-GR" w:eastAsia="el-GR"/>
      </w:rPr>
      <w:drawing>
        <wp:inline distT="0" distB="0" distL="0" distR="0" wp14:anchorId="4ED75400" wp14:editId="35BE6E66">
          <wp:extent cx="5490845" cy="698500"/>
          <wp:effectExtent l="0" t="0" r="0" b="0"/>
          <wp:docPr id="674225332" name="Εικόνα 47449330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80911" name="Εικόνα 46888091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pic:cNvPicPr>
                    <a:picLocks noChangeAspect="1"/>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5490845" cy="698986"/>
                  </a:xfrm>
                  <a:prstGeom prst="rect">
                    <a:avLst/>
                  </a:prstGeom>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D86FC" w14:textId="77777777" w:rsidR="007D51AE" w:rsidRDefault="00000000">
    <w:pPr>
      <w:pStyle w:val="a9"/>
    </w:pPr>
    <w:r>
      <w:rPr>
        <w:noProof/>
        <w:lang w:val="el-GR" w:eastAsia="el-GR"/>
      </w:rPr>
      <w:drawing>
        <wp:inline distT="0" distB="0" distL="0" distR="0" wp14:anchorId="4AEF5B3E" wp14:editId="5B8C2E44">
          <wp:extent cx="5490845" cy="698500"/>
          <wp:effectExtent l="0" t="0" r="0" b="0"/>
          <wp:docPr id="1372362814" name="Εικόνα 57016927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47998" name="Εικόνα 211744799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pic:cNvPicPr>
                    <a:picLocks noChangeAspect="1"/>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5490845" cy="698986"/>
                  </a:xfrm>
                  <a:prstGeom prst="rect">
                    <a:avLst/>
                  </a:prstGeom>
                  <a:ln>
                    <a:noFill/>
                  </a:ln>
                </pic:spPr>
              </pic:pic>
            </a:graphicData>
          </a:graphic>
        </wp:inline>
      </w:drawing>
    </w:r>
  </w:p>
  <w:p w14:paraId="19B070ED" w14:textId="77777777" w:rsidR="007D51AE" w:rsidRDefault="007D51AE">
    <w:pPr>
      <w:pStyle w:val="a9"/>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C94C4" w14:textId="77777777" w:rsidR="00AA1EE6" w:rsidRDefault="00AA1EE6">
      <w:pPr>
        <w:spacing w:after="0"/>
      </w:pPr>
      <w:r>
        <w:separator/>
      </w:r>
    </w:p>
  </w:footnote>
  <w:footnote w:type="continuationSeparator" w:id="0">
    <w:p w14:paraId="6EF44EE8" w14:textId="77777777" w:rsidR="00AA1EE6" w:rsidRDefault="00AA1EE6">
      <w:pPr>
        <w:spacing w:after="0"/>
      </w:pPr>
      <w:r>
        <w:continuationSeparator/>
      </w:r>
    </w:p>
  </w:footnote>
  <w:footnote w:id="1">
    <w:p w14:paraId="3C2B1E26" w14:textId="77777777" w:rsidR="00181D14" w:rsidRPr="0098570E" w:rsidRDefault="00181D14" w:rsidP="0098570E">
      <w:pPr>
        <w:pStyle w:val="ab"/>
        <w:jc w:val="both"/>
        <w:rPr>
          <w:sz w:val="18"/>
          <w:szCs w:val="18"/>
          <w:lang w:val="el-GR"/>
        </w:rPr>
      </w:pPr>
      <w:r>
        <w:rPr>
          <w:rStyle w:val="aa"/>
        </w:rPr>
        <w:footnoteRef/>
      </w:r>
      <w:r w:rsidRPr="00061E7C">
        <w:rPr>
          <w:lang w:val="el-GR"/>
        </w:rPr>
        <w:t xml:space="preserve"> </w:t>
      </w:r>
      <w:r w:rsidRPr="0098570E">
        <w:rPr>
          <w:sz w:val="18"/>
          <w:szCs w:val="18"/>
          <w:lang w:val="el-GR"/>
        </w:rPr>
        <w:t>1</w:t>
      </w:r>
      <w:r w:rsidRPr="0098570E">
        <w:rPr>
          <w:sz w:val="18"/>
          <w:szCs w:val="18"/>
          <w:vertAlign w:val="superscript"/>
          <w:lang w:val="el-GR"/>
        </w:rPr>
        <w:t>η</w:t>
      </w:r>
      <w:r w:rsidRPr="0098570E">
        <w:rPr>
          <w:sz w:val="18"/>
          <w:szCs w:val="18"/>
          <w:lang w:val="el-GR"/>
        </w:rPr>
        <w:t xml:space="preserve"> Βουλγαρία, 2</w:t>
      </w:r>
      <w:r w:rsidRPr="0098570E">
        <w:rPr>
          <w:sz w:val="18"/>
          <w:szCs w:val="18"/>
          <w:vertAlign w:val="superscript"/>
          <w:lang w:val="el-GR"/>
        </w:rPr>
        <w:t>η</w:t>
      </w:r>
      <w:r w:rsidRPr="0098570E">
        <w:rPr>
          <w:sz w:val="18"/>
          <w:szCs w:val="18"/>
          <w:lang w:val="el-GR"/>
        </w:rPr>
        <w:t xml:space="preserve"> Λιθουανία, 3</w:t>
      </w:r>
      <w:r w:rsidRPr="0098570E">
        <w:rPr>
          <w:sz w:val="18"/>
          <w:szCs w:val="18"/>
          <w:vertAlign w:val="superscript"/>
          <w:lang w:val="el-GR"/>
        </w:rPr>
        <w:t>η</w:t>
      </w:r>
      <w:r w:rsidRPr="0098570E">
        <w:rPr>
          <w:sz w:val="18"/>
          <w:szCs w:val="18"/>
          <w:lang w:val="el-GR"/>
        </w:rPr>
        <w:t xml:space="preserve"> Ρουμανία</w:t>
      </w:r>
    </w:p>
  </w:footnote>
  <w:footnote w:id="2">
    <w:p w14:paraId="5D306009" w14:textId="4BEFD85F" w:rsidR="00181D14" w:rsidRPr="0098570E" w:rsidRDefault="00181D14" w:rsidP="0098570E">
      <w:pPr>
        <w:pStyle w:val="ab"/>
        <w:jc w:val="both"/>
        <w:rPr>
          <w:sz w:val="18"/>
          <w:szCs w:val="18"/>
          <w:lang w:val="el-GR"/>
        </w:rPr>
      </w:pPr>
      <w:r w:rsidRPr="0098570E">
        <w:rPr>
          <w:rStyle w:val="aa"/>
          <w:sz w:val="18"/>
          <w:szCs w:val="18"/>
        </w:rPr>
        <w:footnoteRef/>
      </w:r>
      <w:r w:rsidRPr="0098570E">
        <w:rPr>
          <w:sz w:val="18"/>
          <w:szCs w:val="18"/>
          <w:lang w:val="el-GR"/>
        </w:rPr>
        <w:t xml:space="preserve"> Το 27,3% των πολιτών της χώρας με ηλικία 16-64 ετών βρίσκεται σε κίνδυνο φτώχειας ή σε κοινωνικό αποκλεισμό, ποσοστό που ανεβάζει τη χώρα στην 2η χειρότερη θέση μετά τη Βουλγαρία.  </w:t>
      </w:r>
    </w:p>
  </w:footnote>
  <w:footnote w:id="3">
    <w:p w14:paraId="0D3C641F" w14:textId="3EAD816C" w:rsidR="00181D14" w:rsidRPr="0098570E" w:rsidRDefault="00181D14" w:rsidP="0098570E">
      <w:pPr>
        <w:pStyle w:val="ab"/>
        <w:jc w:val="both"/>
        <w:rPr>
          <w:sz w:val="18"/>
          <w:szCs w:val="18"/>
          <w:lang w:val="el-GR"/>
        </w:rPr>
      </w:pPr>
      <w:r w:rsidRPr="0098570E">
        <w:rPr>
          <w:rStyle w:val="aa"/>
          <w:sz w:val="18"/>
          <w:szCs w:val="18"/>
        </w:rPr>
        <w:footnoteRef/>
      </w:r>
      <w:r w:rsidRPr="0098570E">
        <w:rPr>
          <w:sz w:val="18"/>
          <w:szCs w:val="18"/>
          <w:lang w:val="el-GR"/>
        </w:rPr>
        <w:t xml:space="preserve"> Σύμφωνα με τα αποτελέσματα της μεγάλης πανελλαδικής έρευνας του Παρατηρητηρίου Θεμάτων Αναπηρίας για την Πρόσβαση των ατόμων με αναπηρία, χρόνιες και σπάνιες παθήσεις στην Υγεία, το 78% απαντάει ότι έχει μειώσει δαπάνες για την κάλυψη των</w:t>
      </w:r>
      <w:r w:rsidR="0096172A">
        <w:rPr>
          <w:sz w:val="18"/>
          <w:szCs w:val="18"/>
          <w:lang w:val="el-GR"/>
        </w:rPr>
        <w:t xml:space="preserve">  </w:t>
      </w:r>
      <w:r w:rsidRPr="0098570E">
        <w:rPr>
          <w:sz w:val="18"/>
          <w:szCs w:val="18"/>
          <w:lang w:val="el-GR"/>
        </w:rPr>
        <w:t>βασικών αναγκών διαβίωσης, όπως δαπάνες για τρόφιμα ή ρούχα, ώστε να καλύψει</w:t>
      </w:r>
    </w:p>
    <w:p w14:paraId="60D9BC2C" w14:textId="77777777" w:rsidR="00181D14" w:rsidRPr="00472FE1" w:rsidRDefault="00181D14" w:rsidP="00181D14">
      <w:pPr>
        <w:pStyle w:val="ab"/>
        <w:rPr>
          <w:lang w:val="el-GR"/>
        </w:rPr>
      </w:pPr>
      <w:r w:rsidRPr="00472FE1">
        <w:rPr>
          <w:lang w:val="el-GR"/>
        </w:rPr>
        <w:t>τις ανελαστικές ανάγκες υγείας του.</w:t>
      </w:r>
    </w:p>
  </w:footnote>
  <w:footnote w:id="4">
    <w:p w14:paraId="0951DBE8" w14:textId="711B692B" w:rsidR="00A63CF4" w:rsidRPr="0098570E" w:rsidRDefault="00A63CF4" w:rsidP="00A63CF4">
      <w:pPr>
        <w:pStyle w:val="ab"/>
        <w:rPr>
          <w:sz w:val="18"/>
          <w:szCs w:val="18"/>
          <w:lang w:val="el-GR"/>
        </w:rPr>
      </w:pPr>
      <w:r w:rsidRPr="0098570E">
        <w:rPr>
          <w:rStyle w:val="aa"/>
          <w:sz w:val="18"/>
          <w:szCs w:val="18"/>
        </w:rPr>
        <w:footnoteRef/>
      </w:r>
      <w:r w:rsidRPr="0098570E">
        <w:rPr>
          <w:sz w:val="18"/>
          <w:szCs w:val="18"/>
          <w:lang w:val="el-GR"/>
        </w:rPr>
        <w:t xml:space="preserve"> </w:t>
      </w:r>
      <w:r w:rsidRPr="0098570E">
        <w:rPr>
          <w:sz w:val="18"/>
          <w:szCs w:val="18"/>
        </w:rPr>
        <w:t>https</w:t>
      </w:r>
      <w:r w:rsidRPr="0098570E">
        <w:rPr>
          <w:sz w:val="18"/>
          <w:szCs w:val="18"/>
          <w:lang w:val="el-GR"/>
        </w:rPr>
        <w:t>://</w:t>
      </w:r>
      <w:r w:rsidRPr="0098570E">
        <w:rPr>
          <w:sz w:val="18"/>
          <w:szCs w:val="18"/>
        </w:rPr>
        <w:t>ec</w:t>
      </w:r>
      <w:r w:rsidRPr="0098570E">
        <w:rPr>
          <w:sz w:val="18"/>
          <w:szCs w:val="18"/>
          <w:lang w:val="el-GR"/>
        </w:rPr>
        <w:t>.</w:t>
      </w:r>
      <w:r w:rsidRPr="0098570E">
        <w:rPr>
          <w:sz w:val="18"/>
          <w:szCs w:val="18"/>
        </w:rPr>
        <w:t>europa</w:t>
      </w:r>
      <w:r w:rsidRPr="0098570E">
        <w:rPr>
          <w:sz w:val="18"/>
          <w:szCs w:val="18"/>
          <w:lang w:val="el-GR"/>
        </w:rPr>
        <w:t>.</w:t>
      </w:r>
      <w:r w:rsidRPr="0098570E">
        <w:rPr>
          <w:sz w:val="18"/>
          <w:szCs w:val="18"/>
        </w:rPr>
        <w:t>eu</w:t>
      </w:r>
      <w:r w:rsidRPr="0098570E">
        <w:rPr>
          <w:sz w:val="18"/>
          <w:szCs w:val="18"/>
          <w:lang w:val="el-GR"/>
        </w:rPr>
        <w:t>/</w:t>
      </w:r>
      <w:r w:rsidRPr="0098570E">
        <w:rPr>
          <w:sz w:val="18"/>
          <w:szCs w:val="18"/>
        </w:rPr>
        <w:t>eurostat</w:t>
      </w:r>
      <w:r w:rsidRPr="0098570E">
        <w:rPr>
          <w:sz w:val="18"/>
          <w:szCs w:val="18"/>
          <w:lang w:val="el-GR"/>
        </w:rPr>
        <w:t>/</w:t>
      </w:r>
      <w:r w:rsidRPr="0098570E">
        <w:rPr>
          <w:sz w:val="18"/>
          <w:szCs w:val="18"/>
        </w:rPr>
        <w:t>databrowser</w:t>
      </w:r>
      <w:r w:rsidRPr="0098570E">
        <w:rPr>
          <w:sz w:val="18"/>
          <w:szCs w:val="18"/>
          <w:lang w:val="el-GR"/>
        </w:rPr>
        <w:t>/</w:t>
      </w:r>
      <w:r w:rsidRPr="0098570E">
        <w:rPr>
          <w:sz w:val="18"/>
          <w:szCs w:val="18"/>
        </w:rPr>
        <w:t>bookmark</w:t>
      </w:r>
      <w:r w:rsidRPr="0098570E">
        <w:rPr>
          <w:sz w:val="18"/>
          <w:szCs w:val="18"/>
          <w:lang w:val="el-GR"/>
        </w:rPr>
        <w:t>/4</w:t>
      </w:r>
      <w:r w:rsidRPr="0098570E">
        <w:rPr>
          <w:sz w:val="18"/>
          <w:szCs w:val="18"/>
        </w:rPr>
        <w:t>bd</w:t>
      </w:r>
      <w:r w:rsidRPr="0098570E">
        <w:rPr>
          <w:sz w:val="18"/>
          <w:szCs w:val="18"/>
          <w:lang w:val="el-GR"/>
        </w:rPr>
        <w:t>07205-8</w:t>
      </w:r>
      <w:r w:rsidRPr="0098570E">
        <w:rPr>
          <w:sz w:val="18"/>
          <w:szCs w:val="18"/>
        </w:rPr>
        <w:t>d</w:t>
      </w:r>
      <w:r w:rsidRPr="0098570E">
        <w:rPr>
          <w:sz w:val="18"/>
          <w:szCs w:val="18"/>
          <w:lang w:val="el-GR"/>
        </w:rPr>
        <w:t>36-4</w:t>
      </w:r>
      <w:r w:rsidRPr="0098570E">
        <w:rPr>
          <w:sz w:val="18"/>
          <w:szCs w:val="18"/>
        </w:rPr>
        <w:t>f</w:t>
      </w:r>
      <w:r w:rsidRPr="0098570E">
        <w:rPr>
          <w:sz w:val="18"/>
          <w:szCs w:val="18"/>
          <w:lang w:val="el-GR"/>
        </w:rPr>
        <w:t>8</w:t>
      </w:r>
      <w:r w:rsidRPr="0098570E">
        <w:rPr>
          <w:sz w:val="18"/>
          <w:szCs w:val="18"/>
        </w:rPr>
        <w:t>d</w:t>
      </w:r>
      <w:r w:rsidRPr="0098570E">
        <w:rPr>
          <w:sz w:val="18"/>
          <w:szCs w:val="18"/>
          <w:lang w:val="el-GR"/>
        </w:rPr>
        <w:t>-9</w:t>
      </w:r>
      <w:r w:rsidRPr="0098570E">
        <w:rPr>
          <w:sz w:val="18"/>
          <w:szCs w:val="18"/>
        </w:rPr>
        <w:t>dc</w:t>
      </w:r>
      <w:r w:rsidRPr="0098570E">
        <w:rPr>
          <w:sz w:val="18"/>
          <w:szCs w:val="18"/>
          <w:lang w:val="el-GR"/>
        </w:rPr>
        <w:t>6-21881</w:t>
      </w:r>
      <w:r w:rsidRPr="0098570E">
        <w:rPr>
          <w:sz w:val="18"/>
          <w:szCs w:val="18"/>
        </w:rPr>
        <w:t>a</w:t>
      </w:r>
      <w:r w:rsidRPr="0098570E">
        <w:rPr>
          <w:sz w:val="18"/>
          <w:szCs w:val="18"/>
          <w:lang w:val="el-GR"/>
        </w:rPr>
        <w:t>70369</w:t>
      </w:r>
      <w:r w:rsidRPr="0098570E">
        <w:rPr>
          <w:sz w:val="18"/>
          <w:szCs w:val="18"/>
        </w:rPr>
        <w:t>d</w:t>
      </w:r>
      <w:r w:rsidRPr="0098570E">
        <w:rPr>
          <w:sz w:val="18"/>
          <w:szCs w:val="18"/>
          <w:lang w:val="el-GR"/>
        </w:rPr>
        <w:t>?</w:t>
      </w:r>
      <w:r w:rsidRPr="0098570E">
        <w:rPr>
          <w:sz w:val="18"/>
          <w:szCs w:val="18"/>
        </w:rPr>
        <w:t>lang</w:t>
      </w:r>
      <w:r w:rsidRPr="0098570E">
        <w:rPr>
          <w:sz w:val="18"/>
          <w:szCs w:val="18"/>
          <w:lang w:val="el-GR"/>
        </w:rPr>
        <w:t>=</w:t>
      </w:r>
      <w:r w:rsidRPr="0098570E">
        <w:rPr>
          <w:sz w:val="18"/>
          <w:szCs w:val="18"/>
        </w:rPr>
        <w:t>en</w:t>
      </w:r>
      <w:r w:rsidRPr="0098570E">
        <w:rPr>
          <w:sz w:val="18"/>
          <w:szCs w:val="18"/>
          <w:lang w:val="el-GR"/>
        </w:rPr>
        <w:t>&amp;</w:t>
      </w:r>
      <w:r w:rsidRPr="0098570E">
        <w:rPr>
          <w:sz w:val="18"/>
          <w:szCs w:val="18"/>
        </w:rPr>
        <w:t>createdAt</w:t>
      </w:r>
      <w:r w:rsidRPr="0098570E">
        <w:rPr>
          <w:sz w:val="18"/>
          <w:szCs w:val="18"/>
          <w:lang w:val="el-GR"/>
        </w:rPr>
        <w:t>=2025-09-16</w:t>
      </w:r>
      <w:r w:rsidRPr="0098570E">
        <w:rPr>
          <w:sz w:val="18"/>
          <w:szCs w:val="18"/>
        </w:rPr>
        <w:t>T</w:t>
      </w:r>
      <w:r w:rsidRPr="0098570E">
        <w:rPr>
          <w:sz w:val="18"/>
          <w:szCs w:val="18"/>
          <w:lang w:val="el-GR"/>
        </w:rPr>
        <w:t>07:56:56</w:t>
      </w:r>
      <w:r w:rsidRPr="0098570E">
        <w:rPr>
          <w:sz w:val="18"/>
          <w:szCs w:val="18"/>
        </w:rPr>
        <w:t>Z</w:t>
      </w:r>
    </w:p>
    <w:p w14:paraId="24A7EA6D" w14:textId="246DFAC5" w:rsidR="00A63CF4" w:rsidRPr="00A63CF4" w:rsidRDefault="00A63CF4">
      <w:pPr>
        <w:pStyle w:val="ab"/>
        <w:rPr>
          <w:lang w:val="el-GR"/>
        </w:rPr>
      </w:pPr>
    </w:p>
  </w:footnote>
  <w:footnote w:id="5">
    <w:p w14:paraId="68979E88" w14:textId="77777777" w:rsidR="00A63CF4" w:rsidRPr="0098570E" w:rsidRDefault="00A63CF4" w:rsidP="00A63CF4">
      <w:pPr>
        <w:pStyle w:val="ab"/>
        <w:rPr>
          <w:sz w:val="18"/>
          <w:szCs w:val="18"/>
          <w:lang w:val="el-GR"/>
        </w:rPr>
      </w:pPr>
      <w:r>
        <w:rPr>
          <w:rStyle w:val="aa"/>
        </w:rPr>
        <w:footnoteRef/>
      </w:r>
      <w:r w:rsidRPr="00A63CF4">
        <w:rPr>
          <w:lang w:val="el-GR"/>
        </w:rPr>
        <w:t xml:space="preserve"> </w:t>
      </w:r>
      <w:r w:rsidRPr="0098570E">
        <w:rPr>
          <w:sz w:val="18"/>
          <w:szCs w:val="18"/>
        </w:rPr>
        <w:t>https</w:t>
      </w:r>
      <w:r w:rsidRPr="0098570E">
        <w:rPr>
          <w:sz w:val="18"/>
          <w:szCs w:val="18"/>
          <w:lang w:val="el-GR"/>
        </w:rPr>
        <w:t>://</w:t>
      </w:r>
      <w:r w:rsidRPr="0098570E">
        <w:rPr>
          <w:sz w:val="18"/>
          <w:szCs w:val="18"/>
        </w:rPr>
        <w:t>ec</w:t>
      </w:r>
      <w:r w:rsidRPr="0098570E">
        <w:rPr>
          <w:sz w:val="18"/>
          <w:szCs w:val="18"/>
          <w:lang w:val="el-GR"/>
        </w:rPr>
        <w:t>.</w:t>
      </w:r>
      <w:r w:rsidRPr="0098570E">
        <w:rPr>
          <w:sz w:val="18"/>
          <w:szCs w:val="18"/>
        </w:rPr>
        <w:t>europa</w:t>
      </w:r>
      <w:r w:rsidRPr="0098570E">
        <w:rPr>
          <w:sz w:val="18"/>
          <w:szCs w:val="18"/>
          <w:lang w:val="el-GR"/>
        </w:rPr>
        <w:t>.</w:t>
      </w:r>
      <w:r w:rsidRPr="0098570E">
        <w:rPr>
          <w:sz w:val="18"/>
          <w:szCs w:val="18"/>
        </w:rPr>
        <w:t>eu</w:t>
      </w:r>
      <w:r w:rsidRPr="0098570E">
        <w:rPr>
          <w:sz w:val="18"/>
          <w:szCs w:val="18"/>
          <w:lang w:val="el-GR"/>
        </w:rPr>
        <w:t>/</w:t>
      </w:r>
      <w:r w:rsidRPr="0098570E">
        <w:rPr>
          <w:sz w:val="18"/>
          <w:szCs w:val="18"/>
        </w:rPr>
        <w:t>eurostat</w:t>
      </w:r>
      <w:r w:rsidRPr="0098570E">
        <w:rPr>
          <w:sz w:val="18"/>
          <w:szCs w:val="18"/>
          <w:lang w:val="el-GR"/>
        </w:rPr>
        <w:t>/</w:t>
      </w:r>
      <w:r w:rsidRPr="0098570E">
        <w:rPr>
          <w:sz w:val="18"/>
          <w:szCs w:val="18"/>
        </w:rPr>
        <w:t>databrowser</w:t>
      </w:r>
      <w:r w:rsidRPr="0098570E">
        <w:rPr>
          <w:sz w:val="18"/>
          <w:szCs w:val="18"/>
          <w:lang w:val="el-GR"/>
        </w:rPr>
        <w:t>/</w:t>
      </w:r>
      <w:r w:rsidRPr="0098570E">
        <w:rPr>
          <w:sz w:val="18"/>
          <w:szCs w:val="18"/>
        </w:rPr>
        <w:t>bookmark</w:t>
      </w:r>
      <w:r w:rsidRPr="0098570E">
        <w:rPr>
          <w:sz w:val="18"/>
          <w:szCs w:val="18"/>
          <w:lang w:val="el-GR"/>
        </w:rPr>
        <w:t>/</w:t>
      </w:r>
      <w:r w:rsidRPr="0098570E">
        <w:rPr>
          <w:sz w:val="18"/>
          <w:szCs w:val="18"/>
        </w:rPr>
        <w:t>e</w:t>
      </w:r>
      <w:r w:rsidRPr="0098570E">
        <w:rPr>
          <w:sz w:val="18"/>
          <w:szCs w:val="18"/>
          <w:lang w:val="el-GR"/>
        </w:rPr>
        <w:t>02</w:t>
      </w:r>
      <w:r w:rsidRPr="0098570E">
        <w:rPr>
          <w:sz w:val="18"/>
          <w:szCs w:val="18"/>
        </w:rPr>
        <w:t>f</w:t>
      </w:r>
      <w:r w:rsidRPr="0098570E">
        <w:rPr>
          <w:sz w:val="18"/>
          <w:szCs w:val="18"/>
          <w:lang w:val="el-GR"/>
        </w:rPr>
        <w:t>2</w:t>
      </w:r>
      <w:r w:rsidRPr="0098570E">
        <w:rPr>
          <w:sz w:val="18"/>
          <w:szCs w:val="18"/>
        </w:rPr>
        <w:t>f</w:t>
      </w:r>
      <w:r w:rsidRPr="0098570E">
        <w:rPr>
          <w:sz w:val="18"/>
          <w:szCs w:val="18"/>
          <w:lang w:val="el-GR"/>
        </w:rPr>
        <w:t>76-</w:t>
      </w:r>
      <w:r w:rsidRPr="0098570E">
        <w:rPr>
          <w:sz w:val="18"/>
          <w:szCs w:val="18"/>
        </w:rPr>
        <w:t>bc</w:t>
      </w:r>
      <w:r w:rsidRPr="0098570E">
        <w:rPr>
          <w:sz w:val="18"/>
          <w:szCs w:val="18"/>
          <w:lang w:val="el-GR"/>
        </w:rPr>
        <w:t>7</w:t>
      </w:r>
      <w:r w:rsidRPr="0098570E">
        <w:rPr>
          <w:sz w:val="18"/>
          <w:szCs w:val="18"/>
        </w:rPr>
        <w:t>c</w:t>
      </w:r>
      <w:r w:rsidRPr="0098570E">
        <w:rPr>
          <w:sz w:val="18"/>
          <w:szCs w:val="18"/>
          <w:lang w:val="el-GR"/>
        </w:rPr>
        <w:t>-4</w:t>
      </w:r>
      <w:r w:rsidRPr="0098570E">
        <w:rPr>
          <w:sz w:val="18"/>
          <w:szCs w:val="18"/>
        </w:rPr>
        <w:t>f</w:t>
      </w:r>
      <w:r w:rsidRPr="0098570E">
        <w:rPr>
          <w:sz w:val="18"/>
          <w:szCs w:val="18"/>
          <w:lang w:val="el-GR"/>
        </w:rPr>
        <w:t>5</w:t>
      </w:r>
      <w:r w:rsidRPr="0098570E">
        <w:rPr>
          <w:sz w:val="18"/>
          <w:szCs w:val="18"/>
        </w:rPr>
        <w:t>b</w:t>
      </w:r>
      <w:r w:rsidRPr="0098570E">
        <w:rPr>
          <w:sz w:val="18"/>
          <w:szCs w:val="18"/>
          <w:lang w:val="el-GR"/>
        </w:rPr>
        <w:t>-83</w:t>
      </w:r>
      <w:r w:rsidRPr="0098570E">
        <w:rPr>
          <w:sz w:val="18"/>
          <w:szCs w:val="18"/>
        </w:rPr>
        <w:t>f</w:t>
      </w:r>
      <w:r w:rsidRPr="0098570E">
        <w:rPr>
          <w:sz w:val="18"/>
          <w:szCs w:val="18"/>
          <w:lang w:val="el-GR"/>
        </w:rPr>
        <w:t>7-</w:t>
      </w:r>
      <w:r w:rsidRPr="0098570E">
        <w:rPr>
          <w:sz w:val="18"/>
          <w:szCs w:val="18"/>
        </w:rPr>
        <w:t>aef</w:t>
      </w:r>
      <w:r w:rsidRPr="0098570E">
        <w:rPr>
          <w:sz w:val="18"/>
          <w:szCs w:val="18"/>
          <w:lang w:val="el-GR"/>
        </w:rPr>
        <w:t>26</w:t>
      </w:r>
      <w:r w:rsidRPr="0098570E">
        <w:rPr>
          <w:sz w:val="18"/>
          <w:szCs w:val="18"/>
        </w:rPr>
        <w:t>b</w:t>
      </w:r>
      <w:r w:rsidRPr="0098570E">
        <w:rPr>
          <w:sz w:val="18"/>
          <w:szCs w:val="18"/>
          <w:lang w:val="el-GR"/>
        </w:rPr>
        <w:t>5</w:t>
      </w:r>
      <w:r w:rsidRPr="0098570E">
        <w:rPr>
          <w:sz w:val="18"/>
          <w:szCs w:val="18"/>
        </w:rPr>
        <w:t>f</w:t>
      </w:r>
      <w:r w:rsidRPr="0098570E">
        <w:rPr>
          <w:sz w:val="18"/>
          <w:szCs w:val="18"/>
          <w:lang w:val="el-GR"/>
        </w:rPr>
        <w:t>43</w:t>
      </w:r>
      <w:r w:rsidRPr="0098570E">
        <w:rPr>
          <w:sz w:val="18"/>
          <w:szCs w:val="18"/>
        </w:rPr>
        <w:t>ea</w:t>
      </w:r>
      <w:r w:rsidRPr="0098570E">
        <w:rPr>
          <w:sz w:val="18"/>
          <w:szCs w:val="18"/>
          <w:lang w:val="el-GR"/>
        </w:rPr>
        <w:t>?</w:t>
      </w:r>
      <w:r w:rsidRPr="0098570E">
        <w:rPr>
          <w:sz w:val="18"/>
          <w:szCs w:val="18"/>
        </w:rPr>
        <w:t>lang</w:t>
      </w:r>
      <w:r w:rsidRPr="0098570E">
        <w:rPr>
          <w:sz w:val="18"/>
          <w:szCs w:val="18"/>
          <w:lang w:val="el-GR"/>
        </w:rPr>
        <w:t>=</w:t>
      </w:r>
      <w:r w:rsidRPr="0098570E">
        <w:rPr>
          <w:sz w:val="18"/>
          <w:szCs w:val="18"/>
        </w:rPr>
        <w:t>en</w:t>
      </w:r>
      <w:r w:rsidRPr="0098570E">
        <w:rPr>
          <w:sz w:val="18"/>
          <w:szCs w:val="18"/>
          <w:lang w:val="el-GR"/>
        </w:rPr>
        <w:t>&amp;</w:t>
      </w:r>
      <w:r w:rsidRPr="0098570E">
        <w:rPr>
          <w:sz w:val="18"/>
          <w:szCs w:val="18"/>
        </w:rPr>
        <w:t>createdAt</w:t>
      </w:r>
      <w:r w:rsidRPr="0098570E">
        <w:rPr>
          <w:sz w:val="18"/>
          <w:szCs w:val="18"/>
          <w:lang w:val="el-GR"/>
        </w:rPr>
        <w:t>=2025-09-16</w:t>
      </w:r>
      <w:r w:rsidRPr="0098570E">
        <w:rPr>
          <w:sz w:val="18"/>
          <w:szCs w:val="18"/>
        </w:rPr>
        <w:t>T</w:t>
      </w:r>
      <w:r w:rsidRPr="0098570E">
        <w:rPr>
          <w:sz w:val="18"/>
          <w:szCs w:val="18"/>
          <w:lang w:val="el-GR"/>
        </w:rPr>
        <w:t>08:39:22</w:t>
      </w:r>
      <w:r w:rsidRPr="0098570E">
        <w:rPr>
          <w:sz w:val="18"/>
          <w:szCs w:val="18"/>
        </w:rPr>
        <w:t>Z</w:t>
      </w:r>
    </w:p>
  </w:footnote>
  <w:footnote w:id="6">
    <w:p w14:paraId="1BA9C1EB" w14:textId="77777777" w:rsidR="00A63CF4" w:rsidRPr="00D01191" w:rsidRDefault="00A63CF4" w:rsidP="00A63CF4">
      <w:pPr>
        <w:pStyle w:val="ab"/>
        <w:rPr>
          <w:lang w:val="el-GR"/>
        </w:rPr>
      </w:pPr>
      <w:r>
        <w:rPr>
          <w:rStyle w:val="aa"/>
        </w:rPr>
        <w:footnoteRef/>
      </w:r>
      <w:r w:rsidRPr="00D01191">
        <w:rPr>
          <w:lang w:val="el-GR"/>
        </w:rPr>
        <w:t xml:space="preserve"> </w:t>
      </w:r>
      <w:r w:rsidRPr="0098570E">
        <w:rPr>
          <w:sz w:val="18"/>
          <w:szCs w:val="18"/>
          <w:lang w:val="el-GR"/>
        </w:rPr>
        <w:t>Πηγή δεδομένων: Ελληνική Στατιστική Αρχή, Σύστημα Λογαριασμών Υγείας (ΣΛΥ) έτους 2023. Πειραιάς: Πειραιάς, 27 Μαρτίου 2025</w:t>
      </w:r>
      <w:r>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FF95" w14:textId="5A52BF10" w:rsidR="00375C70" w:rsidRPr="00375C70" w:rsidRDefault="00000000" w:rsidP="00375C70">
    <w:pPr>
      <w:spacing w:after="0"/>
      <w:jc w:val="both"/>
      <w:rPr>
        <w:color w:val="7F7F7F" w:themeColor="text1" w:themeTint="80"/>
        <w:sz w:val="28"/>
        <w:szCs w:val="28"/>
        <w:lang w:val="el-GR"/>
      </w:rPr>
    </w:pPr>
    <w:r>
      <w:rPr>
        <w:noProof/>
        <w:lang w:val="el-GR" w:eastAsia="el-GR"/>
      </w:rPr>
      <w:drawing>
        <wp:inline distT="0" distB="0" distL="0" distR="0" wp14:anchorId="4C76021F" wp14:editId="663C2B63">
          <wp:extent cx="5490210" cy="946785"/>
          <wp:effectExtent l="0" t="0" r="0" b="0"/>
          <wp:docPr id="1798044434" name="Εικόνα 2055662874"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8510" name="Εικόνα 2033798510" descr="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rcRect b="9346"/>
                  <a:stretch>
                    <a:fillRect/>
                  </a:stretch>
                </pic:blipFill>
                <pic:spPr>
                  <a:xfrm>
                    <a:off x="0" y="0"/>
                    <a:ext cx="5490210" cy="947097"/>
                  </a:xfrm>
                  <a:prstGeom prst="rect">
                    <a:avLst/>
                  </a:prstGeom>
                  <a:ln>
                    <a:noFill/>
                  </a:ln>
                </pic:spPr>
              </pic:pic>
            </a:graphicData>
          </a:graphic>
        </wp:inline>
      </w:drawing>
    </w:r>
  </w:p>
  <w:p w14:paraId="67E0D97A" w14:textId="51C75234" w:rsidR="007D51AE" w:rsidRPr="00375C70" w:rsidRDefault="00375C70" w:rsidP="00375C70">
    <w:pPr>
      <w:pStyle w:val="ac"/>
      <w:jc w:val="right"/>
      <w:rPr>
        <w:color w:val="1481AB" w:themeColor="accent1" w:themeShade="BF"/>
        <w:sz w:val="24"/>
        <w:szCs w:val="24"/>
        <w:lang w:val="el-GR"/>
      </w:rPr>
    </w:pPr>
    <w:r w:rsidRPr="00375C70">
      <w:rPr>
        <w:color w:val="006699"/>
        <w:sz w:val="24"/>
        <w:szCs w:val="24"/>
        <w:lang w:val="el-GR"/>
      </w:rPr>
      <w:t>[202</w:t>
    </w:r>
    <w:r w:rsidR="00181D14">
      <w:rPr>
        <w:color w:val="006699"/>
        <w:sz w:val="24"/>
        <w:szCs w:val="24"/>
        <w:lang w:val="el-GR"/>
      </w:rPr>
      <w:t>5</w:t>
    </w:r>
    <w:r w:rsidR="007F7EFE">
      <w:rPr>
        <w:color w:val="006699"/>
        <w:sz w:val="24"/>
        <w:szCs w:val="24"/>
        <w:lang w:val="el-GR"/>
      </w:rPr>
      <w:t xml:space="preserve"> </w:t>
    </w:r>
    <w:r w:rsidR="007F7EFE">
      <w:rPr>
        <w:color w:val="006699"/>
        <w:sz w:val="24"/>
        <w:szCs w:val="24"/>
        <w:lang w:val="el-GR"/>
      </w:rPr>
      <w:sym w:font="Wingdings" w:char="F09F"/>
    </w:r>
    <w:r w:rsidR="007F7EFE">
      <w:rPr>
        <w:color w:val="006699"/>
        <w:sz w:val="24"/>
        <w:szCs w:val="24"/>
        <w:lang w:val="el-GR"/>
      </w:rPr>
      <w:t xml:space="preserve"> </w:t>
    </w:r>
    <w:r w:rsidR="00181D14">
      <w:rPr>
        <w:color w:val="006699"/>
        <w:sz w:val="24"/>
        <w:szCs w:val="24"/>
        <w:lang w:val="el-GR"/>
      </w:rPr>
      <w:t>2</w:t>
    </w:r>
    <w:r w:rsidRPr="00375C70">
      <w:rPr>
        <w:color w:val="006699"/>
        <w:sz w:val="24"/>
        <w:szCs w:val="24"/>
        <w:vertAlign w:val="superscript"/>
        <w:lang w:val="el-GR"/>
      </w:rPr>
      <w:t>ο</w:t>
    </w:r>
    <w:r w:rsidRPr="00375C70">
      <w:rPr>
        <w:color w:val="006699"/>
        <w:sz w:val="24"/>
        <w:szCs w:val="24"/>
        <w:lang w:val="el-GR"/>
      </w:rPr>
      <w:t xml:space="preserve"> Δελτίο]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8637" w14:textId="77777777" w:rsidR="007D51AE" w:rsidRDefault="00000000">
    <w:pPr>
      <w:pStyle w:val="ac"/>
      <w:spacing w:before="360"/>
      <w:ind w:left="-1701" w:right="-1298"/>
      <w:jc w:val="center"/>
    </w:pPr>
    <w:r>
      <w:rPr>
        <w:noProof/>
        <w:lang w:val="el-GR" w:eastAsia="el-GR"/>
      </w:rPr>
      <w:drawing>
        <wp:inline distT="0" distB="0" distL="0" distR="0" wp14:anchorId="659E1632" wp14:editId="7CC65F84">
          <wp:extent cx="6644640" cy="906780"/>
          <wp:effectExtent l="0" t="0" r="3810" b="0"/>
          <wp:docPr id="1492836471" name="Εικόνα 330103300"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22889" name="Εικόνα 1348622889" descr="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rcRect b="9346"/>
                  <a:stretch>
                    <a:fillRect/>
                  </a:stretch>
                </pic:blipFill>
                <pic:spPr>
                  <a:xfrm>
                    <a:off x="0" y="0"/>
                    <a:ext cx="6647616" cy="907186"/>
                  </a:xfrm>
                  <a:prstGeom prst="rect">
                    <a:avLst/>
                  </a:prstGeom>
                  <a:ln>
                    <a:noFill/>
                  </a:ln>
                </pic:spPr>
              </pic:pic>
            </a:graphicData>
          </a:graphic>
        </wp:inline>
      </w:drawing>
    </w:r>
    <w:r>
      <w:rPr>
        <w:noProof/>
        <w:lang w:val="el-GR" w:eastAsia="el-GR"/>
      </w:rPr>
      <w:drawing>
        <wp:inline distT="0" distB="0" distL="0" distR="0" wp14:anchorId="614B459C" wp14:editId="1FBA58DA">
          <wp:extent cx="6187440" cy="876300"/>
          <wp:effectExtent l="0" t="0" r="3810" b="0"/>
          <wp:docPr id="1707160495" name="Εικόνα 2033330897"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23920" name="Εικόνα 1803123920"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2">
                    <a:extLst>
                      <a:ext uri="{28A0092B-C50C-407E-A947-70E740481C1C}">
                        <a14:useLocalDpi xmlns:a14="http://schemas.microsoft.com/office/drawing/2010/main" val="0"/>
                      </a:ext>
                    </a:extLst>
                  </a:blip>
                  <a:srcRect l="1" r="688" b="3603"/>
                  <a:stretch>
                    <a:fillRect/>
                  </a:stretch>
                </pic:blipFill>
                <pic:spPr>
                  <a:xfrm>
                    <a:off x="0" y="0"/>
                    <a:ext cx="618744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13E6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9761A6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8185B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667599"/>
    <w:multiLevelType w:val="multilevel"/>
    <w:tmpl w:val="0F66759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2A675CB"/>
    <w:multiLevelType w:val="hybridMultilevel"/>
    <w:tmpl w:val="5D026ED4"/>
    <w:lvl w:ilvl="0" w:tplc="FFFFFFFF">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CF119B"/>
    <w:multiLevelType w:val="hybridMultilevel"/>
    <w:tmpl w:val="1C368B9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9A4FC2"/>
    <w:multiLevelType w:val="hybridMultilevel"/>
    <w:tmpl w:val="1DF6B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79B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6E3E99"/>
    <w:multiLevelType w:val="multilevel"/>
    <w:tmpl w:val="4318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F17EC"/>
    <w:multiLevelType w:val="hybridMultilevel"/>
    <w:tmpl w:val="C16E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9366F"/>
    <w:multiLevelType w:val="hybridMultilevel"/>
    <w:tmpl w:val="F95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01BEB"/>
    <w:multiLevelType w:val="hybridMultilevel"/>
    <w:tmpl w:val="9B8CF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5C23FE"/>
    <w:multiLevelType w:val="multilevel"/>
    <w:tmpl w:val="1F8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D0BE0"/>
    <w:multiLevelType w:val="hybridMultilevel"/>
    <w:tmpl w:val="089EF1AE"/>
    <w:lvl w:ilvl="0" w:tplc="0407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F00CA9"/>
    <w:multiLevelType w:val="multilevel"/>
    <w:tmpl w:val="52F00CA9"/>
    <w:lvl w:ilvl="0">
      <w:start w:val="1"/>
      <w:numFmt w:val="decimal"/>
      <w:pStyle w:val="10"/>
      <w:lvlText w:val="%1"/>
      <w:lvlJc w:val="left"/>
      <w:pPr>
        <w:ind w:left="432" w:hanging="432"/>
      </w:pPr>
      <w:rPr>
        <w:rFonts w:hint="default"/>
      </w:rPr>
    </w:lvl>
    <w:lvl w:ilvl="1">
      <w:start w:val="1"/>
      <w:numFmt w:val="decimal"/>
      <w:pStyle w:val="2"/>
      <w:lvlText w:val="%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578C62F5"/>
    <w:multiLevelType w:val="multilevel"/>
    <w:tmpl w:val="391E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DB7C8F"/>
    <w:multiLevelType w:val="hybridMultilevel"/>
    <w:tmpl w:val="B2086DB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5F272BFB"/>
    <w:multiLevelType w:val="hybridMultilevel"/>
    <w:tmpl w:val="CB9CBC1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DB7A82"/>
    <w:multiLevelType w:val="hybridMultilevel"/>
    <w:tmpl w:val="1CE4A552"/>
    <w:lvl w:ilvl="0" w:tplc="68FE37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3C48D2"/>
    <w:multiLevelType w:val="multilevel"/>
    <w:tmpl w:val="C792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85CBB"/>
    <w:multiLevelType w:val="hybridMultilevel"/>
    <w:tmpl w:val="70C6F02A"/>
    <w:lvl w:ilvl="0" w:tplc="68FE37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C22AD3"/>
    <w:multiLevelType w:val="multilevel"/>
    <w:tmpl w:val="7EC22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8534517">
    <w:abstractNumId w:val="15"/>
  </w:num>
  <w:num w:numId="2" w16cid:durableId="944075374">
    <w:abstractNumId w:val="22"/>
  </w:num>
  <w:num w:numId="3" w16cid:durableId="1907298787">
    <w:abstractNumId w:val="3"/>
  </w:num>
  <w:num w:numId="4" w16cid:durableId="2067676675">
    <w:abstractNumId w:val="10"/>
  </w:num>
  <w:num w:numId="5" w16cid:durableId="1916043130">
    <w:abstractNumId w:val="9"/>
  </w:num>
  <w:num w:numId="6" w16cid:durableId="273951426">
    <w:abstractNumId w:val="2"/>
  </w:num>
  <w:num w:numId="7" w16cid:durableId="120345576">
    <w:abstractNumId w:val="5"/>
  </w:num>
  <w:num w:numId="8" w16cid:durableId="1495073737">
    <w:abstractNumId w:val="0"/>
  </w:num>
  <w:num w:numId="9" w16cid:durableId="36247744">
    <w:abstractNumId w:val="4"/>
  </w:num>
  <w:num w:numId="10" w16cid:durableId="589239434">
    <w:abstractNumId w:val="15"/>
  </w:num>
  <w:num w:numId="11" w16cid:durableId="1756585944">
    <w:abstractNumId w:val="11"/>
  </w:num>
  <w:num w:numId="12" w16cid:durableId="980619968">
    <w:abstractNumId w:val="21"/>
  </w:num>
  <w:num w:numId="13" w16cid:durableId="1795177177">
    <w:abstractNumId w:val="19"/>
  </w:num>
  <w:num w:numId="14" w16cid:durableId="1173228811">
    <w:abstractNumId w:val="7"/>
  </w:num>
  <w:num w:numId="15" w16cid:durableId="1969621067">
    <w:abstractNumId w:val="17"/>
  </w:num>
  <w:num w:numId="16" w16cid:durableId="816990599">
    <w:abstractNumId w:val="15"/>
  </w:num>
  <w:num w:numId="17" w16cid:durableId="789132934">
    <w:abstractNumId w:val="18"/>
  </w:num>
  <w:num w:numId="18" w16cid:durableId="508107810">
    <w:abstractNumId w:val="15"/>
  </w:num>
  <w:num w:numId="19" w16cid:durableId="1824542952">
    <w:abstractNumId w:val="6"/>
  </w:num>
  <w:num w:numId="20" w16cid:durableId="504902417">
    <w:abstractNumId w:val="14"/>
  </w:num>
  <w:num w:numId="21" w16cid:durableId="944846033">
    <w:abstractNumId w:val="13"/>
  </w:num>
  <w:num w:numId="22" w16cid:durableId="24982637">
    <w:abstractNumId w:val="20"/>
  </w:num>
  <w:num w:numId="23" w16cid:durableId="2143620485">
    <w:abstractNumId w:val="8"/>
  </w:num>
  <w:num w:numId="24" w16cid:durableId="110125935">
    <w:abstractNumId w:val="16"/>
  </w:num>
  <w:num w:numId="25" w16cid:durableId="1530755050">
    <w:abstractNumId w:val="12"/>
  </w:num>
  <w:num w:numId="26" w16cid:durableId="1672559459">
    <w:abstractNumId w:val="15"/>
  </w:num>
  <w:num w:numId="27" w16cid:durableId="1006442964">
    <w:abstractNumId w:val="15"/>
  </w:num>
  <w:num w:numId="28" w16cid:durableId="1701589895">
    <w:abstractNumId w:val="15"/>
  </w:num>
  <w:num w:numId="29" w16cid:durableId="481193514">
    <w:abstractNumId w:val="1"/>
  </w:num>
  <w:num w:numId="30" w16cid:durableId="42758706">
    <w:abstractNumId w:val="15"/>
  </w:num>
  <w:num w:numId="31" w16cid:durableId="726758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B2"/>
    <w:rsid w:val="00000401"/>
    <w:rsid w:val="00000F04"/>
    <w:rsid w:val="00001B0E"/>
    <w:rsid w:val="00001C48"/>
    <w:rsid w:val="0000287E"/>
    <w:rsid w:val="00004A64"/>
    <w:rsid w:val="00004EFF"/>
    <w:rsid w:val="00004F59"/>
    <w:rsid w:val="00006238"/>
    <w:rsid w:val="00010D6F"/>
    <w:rsid w:val="0001136E"/>
    <w:rsid w:val="00011632"/>
    <w:rsid w:val="00013C12"/>
    <w:rsid w:val="000141B9"/>
    <w:rsid w:val="0001569F"/>
    <w:rsid w:val="00016989"/>
    <w:rsid w:val="00016D4A"/>
    <w:rsid w:val="0002091C"/>
    <w:rsid w:val="00020C87"/>
    <w:rsid w:val="00022E12"/>
    <w:rsid w:val="000235A7"/>
    <w:rsid w:val="00023EA3"/>
    <w:rsid w:val="000251A7"/>
    <w:rsid w:val="00025553"/>
    <w:rsid w:val="00025A72"/>
    <w:rsid w:val="00026292"/>
    <w:rsid w:val="00026DEE"/>
    <w:rsid w:val="0002706F"/>
    <w:rsid w:val="00027340"/>
    <w:rsid w:val="00027487"/>
    <w:rsid w:val="000277EF"/>
    <w:rsid w:val="00027AA3"/>
    <w:rsid w:val="00030659"/>
    <w:rsid w:val="00030AC1"/>
    <w:rsid w:val="00030B4F"/>
    <w:rsid w:val="00030B66"/>
    <w:rsid w:val="0003219C"/>
    <w:rsid w:val="000326C8"/>
    <w:rsid w:val="00032998"/>
    <w:rsid w:val="000329A2"/>
    <w:rsid w:val="00033E31"/>
    <w:rsid w:val="0003410A"/>
    <w:rsid w:val="00034FCC"/>
    <w:rsid w:val="000350F5"/>
    <w:rsid w:val="00035153"/>
    <w:rsid w:val="00036148"/>
    <w:rsid w:val="00036267"/>
    <w:rsid w:val="000364EB"/>
    <w:rsid w:val="00036AFB"/>
    <w:rsid w:val="00036E31"/>
    <w:rsid w:val="0003746F"/>
    <w:rsid w:val="00037760"/>
    <w:rsid w:val="000401D1"/>
    <w:rsid w:val="00040C1E"/>
    <w:rsid w:val="00040CA9"/>
    <w:rsid w:val="000431CF"/>
    <w:rsid w:val="00044D92"/>
    <w:rsid w:val="00045C42"/>
    <w:rsid w:val="00046688"/>
    <w:rsid w:val="00047068"/>
    <w:rsid w:val="000476D6"/>
    <w:rsid w:val="0004785C"/>
    <w:rsid w:val="00050137"/>
    <w:rsid w:val="000514F1"/>
    <w:rsid w:val="00051811"/>
    <w:rsid w:val="00053EC9"/>
    <w:rsid w:val="00053EFC"/>
    <w:rsid w:val="0005407D"/>
    <w:rsid w:val="00054C66"/>
    <w:rsid w:val="000568F8"/>
    <w:rsid w:val="00056984"/>
    <w:rsid w:val="00057501"/>
    <w:rsid w:val="00057539"/>
    <w:rsid w:val="00057811"/>
    <w:rsid w:val="0005793A"/>
    <w:rsid w:val="00060355"/>
    <w:rsid w:val="000603B1"/>
    <w:rsid w:val="00060F80"/>
    <w:rsid w:val="0006162C"/>
    <w:rsid w:val="00062552"/>
    <w:rsid w:val="00063077"/>
    <w:rsid w:val="00064787"/>
    <w:rsid w:val="00064A90"/>
    <w:rsid w:val="00064AB8"/>
    <w:rsid w:val="00064AC8"/>
    <w:rsid w:val="00064DB2"/>
    <w:rsid w:val="000655AA"/>
    <w:rsid w:val="000659CC"/>
    <w:rsid w:val="000664D0"/>
    <w:rsid w:val="00066546"/>
    <w:rsid w:val="000674F2"/>
    <w:rsid w:val="00067CD5"/>
    <w:rsid w:val="0007097C"/>
    <w:rsid w:val="00071E02"/>
    <w:rsid w:val="000722E3"/>
    <w:rsid w:val="000723D3"/>
    <w:rsid w:val="00073C36"/>
    <w:rsid w:val="00074BA8"/>
    <w:rsid w:val="00074F40"/>
    <w:rsid w:val="000767A8"/>
    <w:rsid w:val="00076819"/>
    <w:rsid w:val="000769FF"/>
    <w:rsid w:val="0007702B"/>
    <w:rsid w:val="00080E7B"/>
    <w:rsid w:val="00080F8C"/>
    <w:rsid w:val="000817A1"/>
    <w:rsid w:val="00081EB3"/>
    <w:rsid w:val="000825F5"/>
    <w:rsid w:val="00082630"/>
    <w:rsid w:val="00082A5A"/>
    <w:rsid w:val="00083EBB"/>
    <w:rsid w:val="00083F90"/>
    <w:rsid w:val="00085342"/>
    <w:rsid w:val="00086033"/>
    <w:rsid w:val="0008750C"/>
    <w:rsid w:val="00091429"/>
    <w:rsid w:val="000928C5"/>
    <w:rsid w:val="00093E9D"/>
    <w:rsid w:val="00095D5C"/>
    <w:rsid w:val="00095F0B"/>
    <w:rsid w:val="00096618"/>
    <w:rsid w:val="00097592"/>
    <w:rsid w:val="000A3589"/>
    <w:rsid w:val="000A4359"/>
    <w:rsid w:val="000A47F8"/>
    <w:rsid w:val="000A67ED"/>
    <w:rsid w:val="000A7205"/>
    <w:rsid w:val="000A7708"/>
    <w:rsid w:val="000B0FDE"/>
    <w:rsid w:val="000B1003"/>
    <w:rsid w:val="000B3814"/>
    <w:rsid w:val="000B3D31"/>
    <w:rsid w:val="000B4015"/>
    <w:rsid w:val="000B4243"/>
    <w:rsid w:val="000B4AC4"/>
    <w:rsid w:val="000B4DF3"/>
    <w:rsid w:val="000B6006"/>
    <w:rsid w:val="000B6438"/>
    <w:rsid w:val="000B790C"/>
    <w:rsid w:val="000B7F76"/>
    <w:rsid w:val="000C037E"/>
    <w:rsid w:val="000C2646"/>
    <w:rsid w:val="000C28D2"/>
    <w:rsid w:val="000C318A"/>
    <w:rsid w:val="000C33EE"/>
    <w:rsid w:val="000C4095"/>
    <w:rsid w:val="000C40F9"/>
    <w:rsid w:val="000C54CC"/>
    <w:rsid w:val="000C6F93"/>
    <w:rsid w:val="000C75E0"/>
    <w:rsid w:val="000C7AC1"/>
    <w:rsid w:val="000C7D79"/>
    <w:rsid w:val="000D1AD9"/>
    <w:rsid w:val="000D2E29"/>
    <w:rsid w:val="000D2E36"/>
    <w:rsid w:val="000D3BE7"/>
    <w:rsid w:val="000D3C24"/>
    <w:rsid w:val="000D4C81"/>
    <w:rsid w:val="000D70C9"/>
    <w:rsid w:val="000E0E48"/>
    <w:rsid w:val="000E1B25"/>
    <w:rsid w:val="000E21F4"/>
    <w:rsid w:val="000E22CF"/>
    <w:rsid w:val="000E2EFC"/>
    <w:rsid w:val="000E494A"/>
    <w:rsid w:val="000E4ABF"/>
    <w:rsid w:val="000E4CB0"/>
    <w:rsid w:val="000E51F1"/>
    <w:rsid w:val="000E56E0"/>
    <w:rsid w:val="000E5ABB"/>
    <w:rsid w:val="000E6AC3"/>
    <w:rsid w:val="000E6AD4"/>
    <w:rsid w:val="000E7D00"/>
    <w:rsid w:val="000F057C"/>
    <w:rsid w:val="000F09D7"/>
    <w:rsid w:val="000F19A4"/>
    <w:rsid w:val="000F1A80"/>
    <w:rsid w:val="000F1BE8"/>
    <w:rsid w:val="000F20A7"/>
    <w:rsid w:val="000F26F8"/>
    <w:rsid w:val="000F32BF"/>
    <w:rsid w:val="000F3C7D"/>
    <w:rsid w:val="000F464E"/>
    <w:rsid w:val="000F4C2F"/>
    <w:rsid w:val="000F7CB7"/>
    <w:rsid w:val="001001A5"/>
    <w:rsid w:val="00101514"/>
    <w:rsid w:val="001016BA"/>
    <w:rsid w:val="00101E3E"/>
    <w:rsid w:val="00101EAF"/>
    <w:rsid w:val="00102193"/>
    <w:rsid w:val="00102B01"/>
    <w:rsid w:val="00103585"/>
    <w:rsid w:val="0010411B"/>
    <w:rsid w:val="00104126"/>
    <w:rsid w:val="00105644"/>
    <w:rsid w:val="0010691C"/>
    <w:rsid w:val="00107885"/>
    <w:rsid w:val="00107C12"/>
    <w:rsid w:val="00107F11"/>
    <w:rsid w:val="00111513"/>
    <w:rsid w:val="0011470C"/>
    <w:rsid w:val="00114A1F"/>
    <w:rsid w:val="00115050"/>
    <w:rsid w:val="00115383"/>
    <w:rsid w:val="00117798"/>
    <w:rsid w:val="001178DE"/>
    <w:rsid w:val="00117A73"/>
    <w:rsid w:val="00120801"/>
    <w:rsid w:val="001208F8"/>
    <w:rsid w:val="00121FC3"/>
    <w:rsid w:val="001220B2"/>
    <w:rsid w:val="00122357"/>
    <w:rsid w:val="001228E5"/>
    <w:rsid w:val="00122E0D"/>
    <w:rsid w:val="001240F2"/>
    <w:rsid w:val="001241AA"/>
    <w:rsid w:val="00124938"/>
    <w:rsid w:val="00124A66"/>
    <w:rsid w:val="001254A2"/>
    <w:rsid w:val="00125908"/>
    <w:rsid w:val="00127A30"/>
    <w:rsid w:val="00127A93"/>
    <w:rsid w:val="00127F88"/>
    <w:rsid w:val="00130F9F"/>
    <w:rsid w:val="0013268C"/>
    <w:rsid w:val="00133290"/>
    <w:rsid w:val="0013349F"/>
    <w:rsid w:val="00135882"/>
    <w:rsid w:val="00135C22"/>
    <w:rsid w:val="00136067"/>
    <w:rsid w:val="00136322"/>
    <w:rsid w:val="0013767A"/>
    <w:rsid w:val="001379D4"/>
    <w:rsid w:val="00137E34"/>
    <w:rsid w:val="00140B0F"/>
    <w:rsid w:val="001412B3"/>
    <w:rsid w:val="001419D8"/>
    <w:rsid w:val="00141A47"/>
    <w:rsid w:val="00141FD5"/>
    <w:rsid w:val="00142759"/>
    <w:rsid w:val="00143389"/>
    <w:rsid w:val="00143650"/>
    <w:rsid w:val="001453ED"/>
    <w:rsid w:val="00146455"/>
    <w:rsid w:val="0014671D"/>
    <w:rsid w:val="00147711"/>
    <w:rsid w:val="0014790E"/>
    <w:rsid w:val="00147AB1"/>
    <w:rsid w:val="00150307"/>
    <w:rsid w:val="00152A10"/>
    <w:rsid w:val="001553C1"/>
    <w:rsid w:val="00155A8F"/>
    <w:rsid w:val="00155B1B"/>
    <w:rsid w:val="00155B9C"/>
    <w:rsid w:val="00156294"/>
    <w:rsid w:val="0015674F"/>
    <w:rsid w:val="00156A87"/>
    <w:rsid w:val="001600E4"/>
    <w:rsid w:val="001612A5"/>
    <w:rsid w:val="001614AC"/>
    <w:rsid w:val="001615F4"/>
    <w:rsid w:val="001623D3"/>
    <w:rsid w:val="00162860"/>
    <w:rsid w:val="001637C5"/>
    <w:rsid w:val="00163E31"/>
    <w:rsid w:val="001644F4"/>
    <w:rsid w:val="001645B6"/>
    <w:rsid w:val="001647E0"/>
    <w:rsid w:val="00164C3B"/>
    <w:rsid w:val="0016570D"/>
    <w:rsid w:val="00165B56"/>
    <w:rsid w:val="00165F59"/>
    <w:rsid w:val="0016630F"/>
    <w:rsid w:val="001668D7"/>
    <w:rsid w:val="00166C4F"/>
    <w:rsid w:val="00167E48"/>
    <w:rsid w:val="0017007C"/>
    <w:rsid w:val="001700B1"/>
    <w:rsid w:val="00170112"/>
    <w:rsid w:val="00172F99"/>
    <w:rsid w:val="00173737"/>
    <w:rsid w:val="00173D7F"/>
    <w:rsid w:val="00174640"/>
    <w:rsid w:val="00175055"/>
    <w:rsid w:val="001755B7"/>
    <w:rsid w:val="00175766"/>
    <w:rsid w:val="001758FE"/>
    <w:rsid w:val="0017715F"/>
    <w:rsid w:val="0017750C"/>
    <w:rsid w:val="00177DE2"/>
    <w:rsid w:val="00180F0E"/>
    <w:rsid w:val="00181D14"/>
    <w:rsid w:val="00181FA0"/>
    <w:rsid w:val="00182BD8"/>
    <w:rsid w:val="0018317E"/>
    <w:rsid w:val="00185AC3"/>
    <w:rsid w:val="001861A9"/>
    <w:rsid w:val="001869DE"/>
    <w:rsid w:val="00187677"/>
    <w:rsid w:val="00190721"/>
    <w:rsid w:val="001912EA"/>
    <w:rsid w:val="00191617"/>
    <w:rsid w:val="00192299"/>
    <w:rsid w:val="0019273B"/>
    <w:rsid w:val="00192DE8"/>
    <w:rsid w:val="00192E40"/>
    <w:rsid w:val="00193C8C"/>
    <w:rsid w:val="00195DDA"/>
    <w:rsid w:val="00195EFF"/>
    <w:rsid w:val="00196E8E"/>
    <w:rsid w:val="00197483"/>
    <w:rsid w:val="00197632"/>
    <w:rsid w:val="0019781C"/>
    <w:rsid w:val="0019795A"/>
    <w:rsid w:val="00197F60"/>
    <w:rsid w:val="001A0A17"/>
    <w:rsid w:val="001A0D2C"/>
    <w:rsid w:val="001A0DAE"/>
    <w:rsid w:val="001A0E0A"/>
    <w:rsid w:val="001A157B"/>
    <w:rsid w:val="001A2A51"/>
    <w:rsid w:val="001A2DB2"/>
    <w:rsid w:val="001A2EF1"/>
    <w:rsid w:val="001A3B5D"/>
    <w:rsid w:val="001A415E"/>
    <w:rsid w:val="001A4803"/>
    <w:rsid w:val="001A4B01"/>
    <w:rsid w:val="001A4B99"/>
    <w:rsid w:val="001A766F"/>
    <w:rsid w:val="001A78F7"/>
    <w:rsid w:val="001B08FE"/>
    <w:rsid w:val="001B0A13"/>
    <w:rsid w:val="001B1CE7"/>
    <w:rsid w:val="001B22E8"/>
    <w:rsid w:val="001B2554"/>
    <w:rsid w:val="001B2983"/>
    <w:rsid w:val="001B38E7"/>
    <w:rsid w:val="001B3FF5"/>
    <w:rsid w:val="001B5099"/>
    <w:rsid w:val="001C0348"/>
    <w:rsid w:val="001C03B2"/>
    <w:rsid w:val="001C086F"/>
    <w:rsid w:val="001C153F"/>
    <w:rsid w:val="001C1F90"/>
    <w:rsid w:val="001C3CFE"/>
    <w:rsid w:val="001C503D"/>
    <w:rsid w:val="001C5C5D"/>
    <w:rsid w:val="001C6D9B"/>
    <w:rsid w:val="001C752A"/>
    <w:rsid w:val="001D00EE"/>
    <w:rsid w:val="001D0A17"/>
    <w:rsid w:val="001D137C"/>
    <w:rsid w:val="001D19A9"/>
    <w:rsid w:val="001D2A70"/>
    <w:rsid w:val="001D2EDD"/>
    <w:rsid w:val="001D3091"/>
    <w:rsid w:val="001D35FA"/>
    <w:rsid w:val="001D3672"/>
    <w:rsid w:val="001D37F3"/>
    <w:rsid w:val="001D4818"/>
    <w:rsid w:val="001D4E68"/>
    <w:rsid w:val="001D5992"/>
    <w:rsid w:val="001D5F1A"/>
    <w:rsid w:val="001D6A57"/>
    <w:rsid w:val="001D6FC1"/>
    <w:rsid w:val="001D722B"/>
    <w:rsid w:val="001D74D2"/>
    <w:rsid w:val="001D764A"/>
    <w:rsid w:val="001E04ED"/>
    <w:rsid w:val="001E12EA"/>
    <w:rsid w:val="001E323F"/>
    <w:rsid w:val="001E3A64"/>
    <w:rsid w:val="001E48DB"/>
    <w:rsid w:val="001E4AC0"/>
    <w:rsid w:val="001E62B3"/>
    <w:rsid w:val="001E6AAF"/>
    <w:rsid w:val="001E7BA9"/>
    <w:rsid w:val="001F1DDB"/>
    <w:rsid w:val="001F2672"/>
    <w:rsid w:val="001F3B9B"/>
    <w:rsid w:val="001F4A63"/>
    <w:rsid w:val="001F52C8"/>
    <w:rsid w:val="001F63F0"/>
    <w:rsid w:val="001F6A5E"/>
    <w:rsid w:val="001F6EF6"/>
    <w:rsid w:val="001F7564"/>
    <w:rsid w:val="002002E3"/>
    <w:rsid w:val="00200897"/>
    <w:rsid w:val="00200BE7"/>
    <w:rsid w:val="0020258C"/>
    <w:rsid w:val="0020260D"/>
    <w:rsid w:val="002039C0"/>
    <w:rsid w:val="00203B05"/>
    <w:rsid w:val="00203EB7"/>
    <w:rsid w:val="00204642"/>
    <w:rsid w:val="00204986"/>
    <w:rsid w:val="00206058"/>
    <w:rsid w:val="002073FF"/>
    <w:rsid w:val="00207A89"/>
    <w:rsid w:val="002111E5"/>
    <w:rsid w:val="002116D5"/>
    <w:rsid w:val="00211A50"/>
    <w:rsid w:val="00212CC9"/>
    <w:rsid w:val="00212FFF"/>
    <w:rsid w:val="0021310E"/>
    <w:rsid w:val="00213404"/>
    <w:rsid w:val="002144EA"/>
    <w:rsid w:val="00214700"/>
    <w:rsid w:val="00214EBA"/>
    <w:rsid w:val="0021573C"/>
    <w:rsid w:val="002157AD"/>
    <w:rsid w:val="00216669"/>
    <w:rsid w:val="0021728C"/>
    <w:rsid w:val="002201F2"/>
    <w:rsid w:val="00222527"/>
    <w:rsid w:val="00222C20"/>
    <w:rsid w:val="002250FA"/>
    <w:rsid w:val="00225304"/>
    <w:rsid w:val="00225305"/>
    <w:rsid w:val="00225537"/>
    <w:rsid w:val="002261CA"/>
    <w:rsid w:val="002267EB"/>
    <w:rsid w:val="002269B0"/>
    <w:rsid w:val="00227C7F"/>
    <w:rsid w:val="00227ECE"/>
    <w:rsid w:val="002309C0"/>
    <w:rsid w:val="00230FEB"/>
    <w:rsid w:val="00231092"/>
    <w:rsid w:val="002313EC"/>
    <w:rsid w:val="00231D4F"/>
    <w:rsid w:val="00231F2B"/>
    <w:rsid w:val="00232921"/>
    <w:rsid w:val="00232D4D"/>
    <w:rsid w:val="00233A09"/>
    <w:rsid w:val="00235081"/>
    <w:rsid w:val="002350D8"/>
    <w:rsid w:val="0023531A"/>
    <w:rsid w:val="002358EA"/>
    <w:rsid w:val="00235A0C"/>
    <w:rsid w:val="00235D14"/>
    <w:rsid w:val="002369C6"/>
    <w:rsid w:val="00236EB1"/>
    <w:rsid w:val="00237E8E"/>
    <w:rsid w:val="002430DA"/>
    <w:rsid w:val="0024323F"/>
    <w:rsid w:val="0024363C"/>
    <w:rsid w:val="00244749"/>
    <w:rsid w:val="00245176"/>
    <w:rsid w:val="00245597"/>
    <w:rsid w:val="00246088"/>
    <w:rsid w:val="00246EDE"/>
    <w:rsid w:val="00247073"/>
    <w:rsid w:val="002521B4"/>
    <w:rsid w:val="00253166"/>
    <w:rsid w:val="00253A53"/>
    <w:rsid w:val="00254934"/>
    <w:rsid w:val="00254B28"/>
    <w:rsid w:val="00254B70"/>
    <w:rsid w:val="00255BAD"/>
    <w:rsid w:val="002561F5"/>
    <w:rsid w:val="0025661F"/>
    <w:rsid w:val="00257015"/>
    <w:rsid w:val="00257BD8"/>
    <w:rsid w:val="00260620"/>
    <w:rsid w:val="00260D0E"/>
    <w:rsid w:val="00263D20"/>
    <w:rsid w:val="002640C3"/>
    <w:rsid w:val="0026429F"/>
    <w:rsid w:val="002648EF"/>
    <w:rsid w:val="0026536B"/>
    <w:rsid w:val="002653D4"/>
    <w:rsid w:val="002668BB"/>
    <w:rsid w:val="002669F4"/>
    <w:rsid w:val="00267765"/>
    <w:rsid w:val="002679EF"/>
    <w:rsid w:val="00271088"/>
    <w:rsid w:val="002710F5"/>
    <w:rsid w:val="00271EC1"/>
    <w:rsid w:val="00273C2C"/>
    <w:rsid w:val="00273E07"/>
    <w:rsid w:val="0027406D"/>
    <w:rsid w:val="00274357"/>
    <w:rsid w:val="00275014"/>
    <w:rsid w:val="00275553"/>
    <w:rsid w:val="0027752E"/>
    <w:rsid w:val="00277FC6"/>
    <w:rsid w:val="00281166"/>
    <w:rsid w:val="00282458"/>
    <w:rsid w:val="002835DA"/>
    <w:rsid w:val="00283ECB"/>
    <w:rsid w:val="00285961"/>
    <w:rsid w:val="00290406"/>
    <w:rsid w:val="00291173"/>
    <w:rsid w:val="00291A1F"/>
    <w:rsid w:val="0029276C"/>
    <w:rsid w:val="00293743"/>
    <w:rsid w:val="0029431E"/>
    <w:rsid w:val="002943E5"/>
    <w:rsid w:val="00294795"/>
    <w:rsid w:val="002956E5"/>
    <w:rsid w:val="00297B4E"/>
    <w:rsid w:val="002A09DB"/>
    <w:rsid w:val="002A1383"/>
    <w:rsid w:val="002A1BE9"/>
    <w:rsid w:val="002A1C99"/>
    <w:rsid w:val="002A2355"/>
    <w:rsid w:val="002A2BAE"/>
    <w:rsid w:val="002A3AA8"/>
    <w:rsid w:val="002A4671"/>
    <w:rsid w:val="002A52A1"/>
    <w:rsid w:val="002A52C8"/>
    <w:rsid w:val="002A5A3A"/>
    <w:rsid w:val="002A5E5A"/>
    <w:rsid w:val="002A7F9A"/>
    <w:rsid w:val="002B0AD5"/>
    <w:rsid w:val="002B0F74"/>
    <w:rsid w:val="002B1568"/>
    <w:rsid w:val="002B16EC"/>
    <w:rsid w:val="002B292D"/>
    <w:rsid w:val="002B2E7D"/>
    <w:rsid w:val="002B2EB9"/>
    <w:rsid w:val="002B316F"/>
    <w:rsid w:val="002B508B"/>
    <w:rsid w:val="002B59B0"/>
    <w:rsid w:val="002B6A65"/>
    <w:rsid w:val="002B6E3E"/>
    <w:rsid w:val="002C0A1C"/>
    <w:rsid w:val="002C0B3C"/>
    <w:rsid w:val="002C0BE8"/>
    <w:rsid w:val="002C10B1"/>
    <w:rsid w:val="002C113D"/>
    <w:rsid w:val="002C2221"/>
    <w:rsid w:val="002C2572"/>
    <w:rsid w:val="002C47EE"/>
    <w:rsid w:val="002C4D68"/>
    <w:rsid w:val="002C52CE"/>
    <w:rsid w:val="002C5A76"/>
    <w:rsid w:val="002C5DE1"/>
    <w:rsid w:val="002C6570"/>
    <w:rsid w:val="002C71A4"/>
    <w:rsid w:val="002C75E5"/>
    <w:rsid w:val="002C7C23"/>
    <w:rsid w:val="002D072A"/>
    <w:rsid w:val="002D0B63"/>
    <w:rsid w:val="002D0E42"/>
    <w:rsid w:val="002D115E"/>
    <w:rsid w:val="002D1D04"/>
    <w:rsid w:val="002D2023"/>
    <w:rsid w:val="002D2673"/>
    <w:rsid w:val="002D37CA"/>
    <w:rsid w:val="002D395C"/>
    <w:rsid w:val="002D3EEB"/>
    <w:rsid w:val="002D40C5"/>
    <w:rsid w:val="002D557F"/>
    <w:rsid w:val="002D6209"/>
    <w:rsid w:val="002D679C"/>
    <w:rsid w:val="002D70C9"/>
    <w:rsid w:val="002D7418"/>
    <w:rsid w:val="002D7B7A"/>
    <w:rsid w:val="002E13B5"/>
    <w:rsid w:val="002E161F"/>
    <w:rsid w:val="002E29C0"/>
    <w:rsid w:val="002E3124"/>
    <w:rsid w:val="002E3266"/>
    <w:rsid w:val="002E378C"/>
    <w:rsid w:val="002E45AD"/>
    <w:rsid w:val="002E4CB4"/>
    <w:rsid w:val="002E5997"/>
    <w:rsid w:val="002E60B3"/>
    <w:rsid w:val="002E6272"/>
    <w:rsid w:val="002E70E3"/>
    <w:rsid w:val="002E7347"/>
    <w:rsid w:val="002E7665"/>
    <w:rsid w:val="002E7B62"/>
    <w:rsid w:val="002F00F5"/>
    <w:rsid w:val="002F03FF"/>
    <w:rsid w:val="002F1E9B"/>
    <w:rsid w:val="002F1EC5"/>
    <w:rsid w:val="002F2388"/>
    <w:rsid w:val="002F45E8"/>
    <w:rsid w:val="002F4B34"/>
    <w:rsid w:val="002F56E7"/>
    <w:rsid w:val="002F5C47"/>
    <w:rsid w:val="002F5DEA"/>
    <w:rsid w:val="002F77B6"/>
    <w:rsid w:val="00300331"/>
    <w:rsid w:val="00301453"/>
    <w:rsid w:val="00301FD6"/>
    <w:rsid w:val="0030347E"/>
    <w:rsid w:val="00303E53"/>
    <w:rsid w:val="00304086"/>
    <w:rsid w:val="0030416A"/>
    <w:rsid w:val="00305F28"/>
    <w:rsid w:val="00306EBA"/>
    <w:rsid w:val="00306F87"/>
    <w:rsid w:val="003070F3"/>
    <w:rsid w:val="00315B61"/>
    <w:rsid w:val="003161F4"/>
    <w:rsid w:val="00316412"/>
    <w:rsid w:val="00316833"/>
    <w:rsid w:val="00316B0A"/>
    <w:rsid w:val="00317A10"/>
    <w:rsid w:val="00317D0D"/>
    <w:rsid w:val="00317ED8"/>
    <w:rsid w:val="003201B9"/>
    <w:rsid w:val="0032045D"/>
    <w:rsid w:val="00321450"/>
    <w:rsid w:val="00322550"/>
    <w:rsid w:val="00323EF5"/>
    <w:rsid w:val="00324516"/>
    <w:rsid w:val="00324D05"/>
    <w:rsid w:val="00324D53"/>
    <w:rsid w:val="0032679F"/>
    <w:rsid w:val="00326A57"/>
    <w:rsid w:val="003275A4"/>
    <w:rsid w:val="003276EB"/>
    <w:rsid w:val="00331DFE"/>
    <w:rsid w:val="0033245E"/>
    <w:rsid w:val="003330EA"/>
    <w:rsid w:val="00333438"/>
    <w:rsid w:val="00333599"/>
    <w:rsid w:val="00333895"/>
    <w:rsid w:val="0033391E"/>
    <w:rsid w:val="00334A96"/>
    <w:rsid w:val="00335087"/>
    <w:rsid w:val="003350FE"/>
    <w:rsid w:val="00335BE3"/>
    <w:rsid w:val="003361D5"/>
    <w:rsid w:val="00336623"/>
    <w:rsid w:val="00337707"/>
    <w:rsid w:val="00341B31"/>
    <w:rsid w:val="00342280"/>
    <w:rsid w:val="003436DD"/>
    <w:rsid w:val="00343769"/>
    <w:rsid w:val="00343876"/>
    <w:rsid w:val="0034403A"/>
    <w:rsid w:val="00344B44"/>
    <w:rsid w:val="003460F2"/>
    <w:rsid w:val="00347356"/>
    <w:rsid w:val="00347517"/>
    <w:rsid w:val="003478A0"/>
    <w:rsid w:val="00347FD2"/>
    <w:rsid w:val="003504F6"/>
    <w:rsid w:val="00351FD5"/>
    <w:rsid w:val="003529E6"/>
    <w:rsid w:val="00352D70"/>
    <w:rsid w:val="003530C9"/>
    <w:rsid w:val="003533B1"/>
    <w:rsid w:val="003533DE"/>
    <w:rsid w:val="00353835"/>
    <w:rsid w:val="00354249"/>
    <w:rsid w:val="00354E9A"/>
    <w:rsid w:val="00355317"/>
    <w:rsid w:val="003570AA"/>
    <w:rsid w:val="003572AC"/>
    <w:rsid w:val="00357E25"/>
    <w:rsid w:val="0036020D"/>
    <w:rsid w:val="0036077E"/>
    <w:rsid w:val="00360CB7"/>
    <w:rsid w:val="00360F1B"/>
    <w:rsid w:val="003621D5"/>
    <w:rsid w:val="003626C7"/>
    <w:rsid w:val="00362E4B"/>
    <w:rsid w:val="00363494"/>
    <w:rsid w:val="003638B2"/>
    <w:rsid w:val="00363FF6"/>
    <w:rsid w:val="003645F9"/>
    <w:rsid w:val="003652B9"/>
    <w:rsid w:val="00365324"/>
    <w:rsid w:val="00365AD7"/>
    <w:rsid w:val="0036626B"/>
    <w:rsid w:val="00367060"/>
    <w:rsid w:val="003677F5"/>
    <w:rsid w:val="00372060"/>
    <w:rsid w:val="00372803"/>
    <w:rsid w:val="00372818"/>
    <w:rsid w:val="00373A86"/>
    <w:rsid w:val="00373B94"/>
    <w:rsid w:val="00374572"/>
    <w:rsid w:val="003746A6"/>
    <w:rsid w:val="00375C70"/>
    <w:rsid w:val="00377025"/>
    <w:rsid w:val="003775B4"/>
    <w:rsid w:val="003800AB"/>
    <w:rsid w:val="00380154"/>
    <w:rsid w:val="00380183"/>
    <w:rsid w:val="00381A73"/>
    <w:rsid w:val="00382583"/>
    <w:rsid w:val="003827A0"/>
    <w:rsid w:val="00382CC6"/>
    <w:rsid w:val="00382EFA"/>
    <w:rsid w:val="0038477D"/>
    <w:rsid w:val="003848BC"/>
    <w:rsid w:val="003855FE"/>
    <w:rsid w:val="0038573B"/>
    <w:rsid w:val="00385E69"/>
    <w:rsid w:val="003861E8"/>
    <w:rsid w:val="00390E5D"/>
    <w:rsid w:val="003910F9"/>
    <w:rsid w:val="0039264E"/>
    <w:rsid w:val="00393F0D"/>
    <w:rsid w:val="00394F81"/>
    <w:rsid w:val="00397072"/>
    <w:rsid w:val="00397933"/>
    <w:rsid w:val="00397972"/>
    <w:rsid w:val="00397A70"/>
    <w:rsid w:val="003A006D"/>
    <w:rsid w:val="003A0273"/>
    <w:rsid w:val="003A0D20"/>
    <w:rsid w:val="003A1BE5"/>
    <w:rsid w:val="003A3495"/>
    <w:rsid w:val="003A34BA"/>
    <w:rsid w:val="003A4054"/>
    <w:rsid w:val="003A48E6"/>
    <w:rsid w:val="003A55E1"/>
    <w:rsid w:val="003A599D"/>
    <w:rsid w:val="003A5D8D"/>
    <w:rsid w:val="003A6C73"/>
    <w:rsid w:val="003A7E34"/>
    <w:rsid w:val="003B1441"/>
    <w:rsid w:val="003B168D"/>
    <w:rsid w:val="003B41D9"/>
    <w:rsid w:val="003B4A60"/>
    <w:rsid w:val="003B4C8A"/>
    <w:rsid w:val="003B4D49"/>
    <w:rsid w:val="003B52E6"/>
    <w:rsid w:val="003B54D2"/>
    <w:rsid w:val="003B731F"/>
    <w:rsid w:val="003C0900"/>
    <w:rsid w:val="003C0A09"/>
    <w:rsid w:val="003C0C5D"/>
    <w:rsid w:val="003C1230"/>
    <w:rsid w:val="003C1442"/>
    <w:rsid w:val="003C1E35"/>
    <w:rsid w:val="003C4A75"/>
    <w:rsid w:val="003C5D81"/>
    <w:rsid w:val="003C66F6"/>
    <w:rsid w:val="003C73ED"/>
    <w:rsid w:val="003C7725"/>
    <w:rsid w:val="003D06FB"/>
    <w:rsid w:val="003D15AB"/>
    <w:rsid w:val="003D1CAE"/>
    <w:rsid w:val="003D1DB7"/>
    <w:rsid w:val="003D3956"/>
    <w:rsid w:val="003D411F"/>
    <w:rsid w:val="003D41C5"/>
    <w:rsid w:val="003D5B0B"/>
    <w:rsid w:val="003D6928"/>
    <w:rsid w:val="003D722C"/>
    <w:rsid w:val="003D74B4"/>
    <w:rsid w:val="003D7554"/>
    <w:rsid w:val="003E0A03"/>
    <w:rsid w:val="003E1175"/>
    <w:rsid w:val="003E2626"/>
    <w:rsid w:val="003E5906"/>
    <w:rsid w:val="003E668B"/>
    <w:rsid w:val="003E68AA"/>
    <w:rsid w:val="003E692F"/>
    <w:rsid w:val="003E6C76"/>
    <w:rsid w:val="003E6FF1"/>
    <w:rsid w:val="003E7456"/>
    <w:rsid w:val="003E7668"/>
    <w:rsid w:val="003E76B6"/>
    <w:rsid w:val="003F03DB"/>
    <w:rsid w:val="003F0500"/>
    <w:rsid w:val="003F06B5"/>
    <w:rsid w:val="003F12F6"/>
    <w:rsid w:val="003F2D35"/>
    <w:rsid w:val="003F3C89"/>
    <w:rsid w:val="003F3ED3"/>
    <w:rsid w:val="003F4529"/>
    <w:rsid w:val="003F5690"/>
    <w:rsid w:val="003F79E1"/>
    <w:rsid w:val="00400995"/>
    <w:rsid w:val="00400C58"/>
    <w:rsid w:val="00401F78"/>
    <w:rsid w:val="00401FCA"/>
    <w:rsid w:val="004021EE"/>
    <w:rsid w:val="004026A8"/>
    <w:rsid w:val="00402869"/>
    <w:rsid w:val="00402980"/>
    <w:rsid w:val="00403188"/>
    <w:rsid w:val="00403575"/>
    <w:rsid w:val="0040381B"/>
    <w:rsid w:val="00403970"/>
    <w:rsid w:val="004047E3"/>
    <w:rsid w:val="004051C2"/>
    <w:rsid w:val="004062BB"/>
    <w:rsid w:val="00406905"/>
    <w:rsid w:val="004075FF"/>
    <w:rsid w:val="0041004B"/>
    <w:rsid w:val="004118D1"/>
    <w:rsid w:val="0041191D"/>
    <w:rsid w:val="00411B16"/>
    <w:rsid w:val="00411EDC"/>
    <w:rsid w:val="0041241D"/>
    <w:rsid w:val="004124FE"/>
    <w:rsid w:val="0041280A"/>
    <w:rsid w:val="00412EF4"/>
    <w:rsid w:val="00413974"/>
    <w:rsid w:val="004143F9"/>
    <w:rsid w:val="00414EA5"/>
    <w:rsid w:val="0041507C"/>
    <w:rsid w:val="00415ED7"/>
    <w:rsid w:val="00417396"/>
    <w:rsid w:val="00417678"/>
    <w:rsid w:val="0041790F"/>
    <w:rsid w:val="00417AD9"/>
    <w:rsid w:val="00420445"/>
    <w:rsid w:val="00421ACC"/>
    <w:rsid w:val="0042213A"/>
    <w:rsid w:val="00423517"/>
    <w:rsid w:val="004244D6"/>
    <w:rsid w:val="00424690"/>
    <w:rsid w:val="004248C3"/>
    <w:rsid w:val="00424ABE"/>
    <w:rsid w:val="00425E15"/>
    <w:rsid w:val="00425E78"/>
    <w:rsid w:val="004260E4"/>
    <w:rsid w:val="00426F39"/>
    <w:rsid w:val="00432806"/>
    <w:rsid w:val="004338AF"/>
    <w:rsid w:val="00433BB2"/>
    <w:rsid w:val="00433EFC"/>
    <w:rsid w:val="00433F23"/>
    <w:rsid w:val="00434115"/>
    <w:rsid w:val="004350D0"/>
    <w:rsid w:val="00435226"/>
    <w:rsid w:val="00435416"/>
    <w:rsid w:val="004354CC"/>
    <w:rsid w:val="00435882"/>
    <w:rsid w:val="00436797"/>
    <w:rsid w:val="00436DBE"/>
    <w:rsid w:val="00437DAE"/>
    <w:rsid w:val="00437DF9"/>
    <w:rsid w:val="00440657"/>
    <w:rsid w:val="00441911"/>
    <w:rsid w:val="00442325"/>
    <w:rsid w:val="00442933"/>
    <w:rsid w:val="004436CA"/>
    <w:rsid w:val="00443937"/>
    <w:rsid w:val="004439B3"/>
    <w:rsid w:val="00443B04"/>
    <w:rsid w:val="00444E74"/>
    <w:rsid w:val="00450210"/>
    <w:rsid w:val="004512FC"/>
    <w:rsid w:val="00451479"/>
    <w:rsid w:val="00451BC5"/>
    <w:rsid w:val="00451C05"/>
    <w:rsid w:val="004528C4"/>
    <w:rsid w:val="004528CB"/>
    <w:rsid w:val="00455CB4"/>
    <w:rsid w:val="00455D7B"/>
    <w:rsid w:val="00456D60"/>
    <w:rsid w:val="004605AD"/>
    <w:rsid w:val="0046080C"/>
    <w:rsid w:val="004609C3"/>
    <w:rsid w:val="00460A4C"/>
    <w:rsid w:val="00460C31"/>
    <w:rsid w:val="004621F5"/>
    <w:rsid w:val="00462C69"/>
    <w:rsid w:val="0046414A"/>
    <w:rsid w:val="00464451"/>
    <w:rsid w:val="004645B2"/>
    <w:rsid w:val="00466489"/>
    <w:rsid w:val="004706AA"/>
    <w:rsid w:val="00470FA1"/>
    <w:rsid w:val="004714DA"/>
    <w:rsid w:val="0047265B"/>
    <w:rsid w:val="004735C6"/>
    <w:rsid w:val="00474407"/>
    <w:rsid w:val="004764D9"/>
    <w:rsid w:val="00477EED"/>
    <w:rsid w:val="00480C39"/>
    <w:rsid w:val="004814FD"/>
    <w:rsid w:val="00481697"/>
    <w:rsid w:val="00481743"/>
    <w:rsid w:val="00481783"/>
    <w:rsid w:val="00482356"/>
    <w:rsid w:val="00482515"/>
    <w:rsid w:val="00482E4F"/>
    <w:rsid w:val="00483058"/>
    <w:rsid w:val="004830CA"/>
    <w:rsid w:val="0048373F"/>
    <w:rsid w:val="00483A56"/>
    <w:rsid w:val="00484316"/>
    <w:rsid w:val="0048470E"/>
    <w:rsid w:val="00484A6E"/>
    <w:rsid w:val="0048558A"/>
    <w:rsid w:val="0048585E"/>
    <w:rsid w:val="00485C27"/>
    <w:rsid w:val="004914CE"/>
    <w:rsid w:val="0049151C"/>
    <w:rsid w:val="004940EC"/>
    <w:rsid w:val="00494798"/>
    <w:rsid w:val="0049766E"/>
    <w:rsid w:val="00497856"/>
    <w:rsid w:val="004A11C5"/>
    <w:rsid w:val="004A1351"/>
    <w:rsid w:val="004A1520"/>
    <w:rsid w:val="004A18A7"/>
    <w:rsid w:val="004A1ACF"/>
    <w:rsid w:val="004A24E5"/>
    <w:rsid w:val="004A2FA3"/>
    <w:rsid w:val="004A47B4"/>
    <w:rsid w:val="004A4C17"/>
    <w:rsid w:val="004A60B7"/>
    <w:rsid w:val="004A6923"/>
    <w:rsid w:val="004A6CA0"/>
    <w:rsid w:val="004B1F01"/>
    <w:rsid w:val="004B2C6E"/>
    <w:rsid w:val="004B2CB0"/>
    <w:rsid w:val="004B3D97"/>
    <w:rsid w:val="004B4ABC"/>
    <w:rsid w:val="004B4CE9"/>
    <w:rsid w:val="004B58EB"/>
    <w:rsid w:val="004B679B"/>
    <w:rsid w:val="004C01B4"/>
    <w:rsid w:val="004C09FE"/>
    <w:rsid w:val="004C0E44"/>
    <w:rsid w:val="004C17B4"/>
    <w:rsid w:val="004C1DBD"/>
    <w:rsid w:val="004C1FCC"/>
    <w:rsid w:val="004C2FDF"/>
    <w:rsid w:val="004C332A"/>
    <w:rsid w:val="004C493F"/>
    <w:rsid w:val="004C5306"/>
    <w:rsid w:val="004C5414"/>
    <w:rsid w:val="004C5E51"/>
    <w:rsid w:val="004C61CC"/>
    <w:rsid w:val="004C750D"/>
    <w:rsid w:val="004C78D6"/>
    <w:rsid w:val="004D139C"/>
    <w:rsid w:val="004D350F"/>
    <w:rsid w:val="004D46EB"/>
    <w:rsid w:val="004D4964"/>
    <w:rsid w:val="004D49D2"/>
    <w:rsid w:val="004D5455"/>
    <w:rsid w:val="004D5E86"/>
    <w:rsid w:val="004D620B"/>
    <w:rsid w:val="004D6D0C"/>
    <w:rsid w:val="004E0417"/>
    <w:rsid w:val="004E041B"/>
    <w:rsid w:val="004E0BF7"/>
    <w:rsid w:val="004E0F51"/>
    <w:rsid w:val="004E12F3"/>
    <w:rsid w:val="004E197B"/>
    <w:rsid w:val="004E27F8"/>
    <w:rsid w:val="004E35A8"/>
    <w:rsid w:val="004E50C9"/>
    <w:rsid w:val="004E6498"/>
    <w:rsid w:val="004E7181"/>
    <w:rsid w:val="004E71C3"/>
    <w:rsid w:val="004E73A2"/>
    <w:rsid w:val="004E78DA"/>
    <w:rsid w:val="004F0089"/>
    <w:rsid w:val="004F00E1"/>
    <w:rsid w:val="004F08D5"/>
    <w:rsid w:val="004F10BA"/>
    <w:rsid w:val="004F16AA"/>
    <w:rsid w:val="004F2C04"/>
    <w:rsid w:val="004F2C5F"/>
    <w:rsid w:val="004F2E54"/>
    <w:rsid w:val="004F3964"/>
    <w:rsid w:val="004F3A27"/>
    <w:rsid w:val="004F3C53"/>
    <w:rsid w:val="004F4406"/>
    <w:rsid w:val="004F4D05"/>
    <w:rsid w:val="004F4F99"/>
    <w:rsid w:val="00502F99"/>
    <w:rsid w:val="0050408D"/>
    <w:rsid w:val="00504767"/>
    <w:rsid w:val="00505FCA"/>
    <w:rsid w:val="00507824"/>
    <w:rsid w:val="005108B6"/>
    <w:rsid w:val="00511365"/>
    <w:rsid w:val="00511397"/>
    <w:rsid w:val="00511873"/>
    <w:rsid w:val="005127E0"/>
    <w:rsid w:val="00513B57"/>
    <w:rsid w:val="00513D40"/>
    <w:rsid w:val="0051441E"/>
    <w:rsid w:val="005146A2"/>
    <w:rsid w:val="00514A5E"/>
    <w:rsid w:val="005150B8"/>
    <w:rsid w:val="005164F5"/>
    <w:rsid w:val="00516A9A"/>
    <w:rsid w:val="00516B04"/>
    <w:rsid w:val="00520996"/>
    <w:rsid w:val="005219CB"/>
    <w:rsid w:val="00521BB5"/>
    <w:rsid w:val="00521DDF"/>
    <w:rsid w:val="00522FD7"/>
    <w:rsid w:val="005242B7"/>
    <w:rsid w:val="005246BC"/>
    <w:rsid w:val="00524B9D"/>
    <w:rsid w:val="00525444"/>
    <w:rsid w:val="00527491"/>
    <w:rsid w:val="00527F5B"/>
    <w:rsid w:val="00530E74"/>
    <w:rsid w:val="005310AA"/>
    <w:rsid w:val="005312F9"/>
    <w:rsid w:val="0053212E"/>
    <w:rsid w:val="00532FD6"/>
    <w:rsid w:val="00536239"/>
    <w:rsid w:val="005379FE"/>
    <w:rsid w:val="00537E9A"/>
    <w:rsid w:val="005403BF"/>
    <w:rsid w:val="0054186C"/>
    <w:rsid w:val="00542105"/>
    <w:rsid w:val="00542541"/>
    <w:rsid w:val="00542583"/>
    <w:rsid w:val="00542A08"/>
    <w:rsid w:val="005439C9"/>
    <w:rsid w:val="00544395"/>
    <w:rsid w:val="00544537"/>
    <w:rsid w:val="00544E8D"/>
    <w:rsid w:val="005452E8"/>
    <w:rsid w:val="00545B7C"/>
    <w:rsid w:val="005506D9"/>
    <w:rsid w:val="00550A39"/>
    <w:rsid w:val="00550C68"/>
    <w:rsid w:val="00550DC9"/>
    <w:rsid w:val="00550E07"/>
    <w:rsid w:val="00551336"/>
    <w:rsid w:val="005529CD"/>
    <w:rsid w:val="00553404"/>
    <w:rsid w:val="00554C4F"/>
    <w:rsid w:val="00554D67"/>
    <w:rsid w:val="0055668F"/>
    <w:rsid w:val="00556F7D"/>
    <w:rsid w:val="00557A71"/>
    <w:rsid w:val="00557CA0"/>
    <w:rsid w:val="00557E2A"/>
    <w:rsid w:val="00557F14"/>
    <w:rsid w:val="005603BC"/>
    <w:rsid w:val="005605B6"/>
    <w:rsid w:val="005609B8"/>
    <w:rsid w:val="005611BD"/>
    <w:rsid w:val="00561CA1"/>
    <w:rsid w:val="005620BF"/>
    <w:rsid w:val="005633DD"/>
    <w:rsid w:val="00563BD6"/>
    <w:rsid w:val="00564A98"/>
    <w:rsid w:val="00566AFF"/>
    <w:rsid w:val="00567053"/>
    <w:rsid w:val="00567189"/>
    <w:rsid w:val="005702E1"/>
    <w:rsid w:val="00570B2E"/>
    <w:rsid w:val="005710A7"/>
    <w:rsid w:val="00571304"/>
    <w:rsid w:val="00571ABE"/>
    <w:rsid w:val="005723E4"/>
    <w:rsid w:val="00573338"/>
    <w:rsid w:val="00573DB6"/>
    <w:rsid w:val="00574351"/>
    <w:rsid w:val="00574487"/>
    <w:rsid w:val="00574E70"/>
    <w:rsid w:val="00576873"/>
    <w:rsid w:val="00576A71"/>
    <w:rsid w:val="0057786D"/>
    <w:rsid w:val="00580806"/>
    <w:rsid w:val="0058101A"/>
    <w:rsid w:val="00581031"/>
    <w:rsid w:val="00581398"/>
    <w:rsid w:val="00581AD6"/>
    <w:rsid w:val="00583780"/>
    <w:rsid w:val="005858A3"/>
    <w:rsid w:val="005862C2"/>
    <w:rsid w:val="0058655B"/>
    <w:rsid w:val="00586AE7"/>
    <w:rsid w:val="00587BB1"/>
    <w:rsid w:val="00587F16"/>
    <w:rsid w:val="005908E3"/>
    <w:rsid w:val="00590E56"/>
    <w:rsid w:val="005918F7"/>
    <w:rsid w:val="005919BA"/>
    <w:rsid w:val="005922C2"/>
    <w:rsid w:val="0059344F"/>
    <w:rsid w:val="005940C2"/>
    <w:rsid w:val="005943CF"/>
    <w:rsid w:val="00594E1E"/>
    <w:rsid w:val="00594EE7"/>
    <w:rsid w:val="00595E3B"/>
    <w:rsid w:val="005963AD"/>
    <w:rsid w:val="0059663C"/>
    <w:rsid w:val="00596A26"/>
    <w:rsid w:val="0059728A"/>
    <w:rsid w:val="005976C6"/>
    <w:rsid w:val="005A04FD"/>
    <w:rsid w:val="005A05BD"/>
    <w:rsid w:val="005A0678"/>
    <w:rsid w:val="005A0867"/>
    <w:rsid w:val="005A1000"/>
    <w:rsid w:val="005A1B20"/>
    <w:rsid w:val="005A2167"/>
    <w:rsid w:val="005A2557"/>
    <w:rsid w:val="005A360F"/>
    <w:rsid w:val="005A4BDA"/>
    <w:rsid w:val="005A5477"/>
    <w:rsid w:val="005A5AE9"/>
    <w:rsid w:val="005A7F50"/>
    <w:rsid w:val="005B098B"/>
    <w:rsid w:val="005B11D5"/>
    <w:rsid w:val="005B180A"/>
    <w:rsid w:val="005B2F24"/>
    <w:rsid w:val="005B3097"/>
    <w:rsid w:val="005B309C"/>
    <w:rsid w:val="005B3FD1"/>
    <w:rsid w:val="005B6E46"/>
    <w:rsid w:val="005B7ABC"/>
    <w:rsid w:val="005B7C1E"/>
    <w:rsid w:val="005B7C45"/>
    <w:rsid w:val="005C1362"/>
    <w:rsid w:val="005C1444"/>
    <w:rsid w:val="005C1B56"/>
    <w:rsid w:val="005C25EB"/>
    <w:rsid w:val="005C287C"/>
    <w:rsid w:val="005C2924"/>
    <w:rsid w:val="005C2AA6"/>
    <w:rsid w:val="005C3043"/>
    <w:rsid w:val="005C4337"/>
    <w:rsid w:val="005C47E1"/>
    <w:rsid w:val="005C6B21"/>
    <w:rsid w:val="005C6C8D"/>
    <w:rsid w:val="005C6FE5"/>
    <w:rsid w:val="005C73E3"/>
    <w:rsid w:val="005C7679"/>
    <w:rsid w:val="005D06FF"/>
    <w:rsid w:val="005D1A16"/>
    <w:rsid w:val="005D1BE8"/>
    <w:rsid w:val="005D2AE4"/>
    <w:rsid w:val="005D2DB9"/>
    <w:rsid w:val="005D33EF"/>
    <w:rsid w:val="005D4360"/>
    <w:rsid w:val="005D5552"/>
    <w:rsid w:val="005D5D8A"/>
    <w:rsid w:val="005D6AE0"/>
    <w:rsid w:val="005E129A"/>
    <w:rsid w:val="005E1734"/>
    <w:rsid w:val="005E19F0"/>
    <w:rsid w:val="005E4696"/>
    <w:rsid w:val="005E4E40"/>
    <w:rsid w:val="005E53FE"/>
    <w:rsid w:val="005E61D2"/>
    <w:rsid w:val="005E79AF"/>
    <w:rsid w:val="005E7C97"/>
    <w:rsid w:val="005E7D5F"/>
    <w:rsid w:val="005F04D1"/>
    <w:rsid w:val="005F09E5"/>
    <w:rsid w:val="005F0CE6"/>
    <w:rsid w:val="005F1F28"/>
    <w:rsid w:val="005F4B26"/>
    <w:rsid w:val="005F5798"/>
    <w:rsid w:val="005F58CA"/>
    <w:rsid w:val="005F5D68"/>
    <w:rsid w:val="005F5FDF"/>
    <w:rsid w:val="005F7E7A"/>
    <w:rsid w:val="006003BB"/>
    <w:rsid w:val="006010DD"/>
    <w:rsid w:val="00601145"/>
    <w:rsid w:val="00601910"/>
    <w:rsid w:val="00601917"/>
    <w:rsid w:val="00601EF8"/>
    <w:rsid w:val="00602449"/>
    <w:rsid w:val="00602E03"/>
    <w:rsid w:val="00603139"/>
    <w:rsid w:val="00603FC4"/>
    <w:rsid w:val="00604744"/>
    <w:rsid w:val="00605E13"/>
    <w:rsid w:val="00606376"/>
    <w:rsid w:val="0060637A"/>
    <w:rsid w:val="00606B0F"/>
    <w:rsid w:val="006079B9"/>
    <w:rsid w:val="0061032F"/>
    <w:rsid w:val="006103ED"/>
    <w:rsid w:val="00611089"/>
    <w:rsid w:val="00611252"/>
    <w:rsid w:val="00612CFC"/>
    <w:rsid w:val="006135A9"/>
    <w:rsid w:val="006141A4"/>
    <w:rsid w:val="006171CA"/>
    <w:rsid w:val="00620B00"/>
    <w:rsid w:val="0062157B"/>
    <w:rsid w:val="00623FD4"/>
    <w:rsid w:val="00624737"/>
    <w:rsid w:val="00625C1D"/>
    <w:rsid w:val="006265EE"/>
    <w:rsid w:val="00626BD9"/>
    <w:rsid w:val="006272CE"/>
    <w:rsid w:val="006272F1"/>
    <w:rsid w:val="006273FE"/>
    <w:rsid w:val="00630268"/>
    <w:rsid w:val="00630600"/>
    <w:rsid w:val="00630915"/>
    <w:rsid w:val="00630953"/>
    <w:rsid w:val="00630BD0"/>
    <w:rsid w:val="00631302"/>
    <w:rsid w:val="00631F15"/>
    <w:rsid w:val="00632416"/>
    <w:rsid w:val="006329DB"/>
    <w:rsid w:val="00633ADB"/>
    <w:rsid w:val="00633E68"/>
    <w:rsid w:val="0063479E"/>
    <w:rsid w:val="006351EA"/>
    <w:rsid w:val="00635891"/>
    <w:rsid w:val="006364F8"/>
    <w:rsid w:val="0063678C"/>
    <w:rsid w:val="0063699C"/>
    <w:rsid w:val="006401C0"/>
    <w:rsid w:val="006412AF"/>
    <w:rsid w:val="006412FC"/>
    <w:rsid w:val="00641555"/>
    <w:rsid w:val="006415D3"/>
    <w:rsid w:val="00642263"/>
    <w:rsid w:val="0064227E"/>
    <w:rsid w:val="006424BB"/>
    <w:rsid w:val="006438B6"/>
    <w:rsid w:val="00647974"/>
    <w:rsid w:val="00647EB2"/>
    <w:rsid w:val="006509C0"/>
    <w:rsid w:val="00651075"/>
    <w:rsid w:val="006523C4"/>
    <w:rsid w:val="00654527"/>
    <w:rsid w:val="00654FC5"/>
    <w:rsid w:val="00655299"/>
    <w:rsid w:val="0065755A"/>
    <w:rsid w:val="00660008"/>
    <w:rsid w:val="006602CE"/>
    <w:rsid w:val="00661D12"/>
    <w:rsid w:val="006624DD"/>
    <w:rsid w:val="006629E4"/>
    <w:rsid w:val="00663459"/>
    <w:rsid w:val="006634A5"/>
    <w:rsid w:val="00665500"/>
    <w:rsid w:val="00665A0D"/>
    <w:rsid w:val="00665F8C"/>
    <w:rsid w:val="00667EE6"/>
    <w:rsid w:val="00670114"/>
    <w:rsid w:val="00670713"/>
    <w:rsid w:val="006708D5"/>
    <w:rsid w:val="00671D3F"/>
    <w:rsid w:val="0067272F"/>
    <w:rsid w:val="00672C7D"/>
    <w:rsid w:val="0067423A"/>
    <w:rsid w:val="0067580F"/>
    <w:rsid w:val="00680B72"/>
    <w:rsid w:val="0068245B"/>
    <w:rsid w:val="00682860"/>
    <w:rsid w:val="00682A3E"/>
    <w:rsid w:val="00682DF4"/>
    <w:rsid w:val="00686862"/>
    <w:rsid w:val="00686E3C"/>
    <w:rsid w:val="00690410"/>
    <w:rsid w:val="006907B7"/>
    <w:rsid w:val="00690A10"/>
    <w:rsid w:val="006911CB"/>
    <w:rsid w:val="00691E1A"/>
    <w:rsid w:val="00692495"/>
    <w:rsid w:val="006929D5"/>
    <w:rsid w:val="006934F4"/>
    <w:rsid w:val="006935A3"/>
    <w:rsid w:val="00693A08"/>
    <w:rsid w:val="00694A92"/>
    <w:rsid w:val="00696886"/>
    <w:rsid w:val="00696A63"/>
    <w:rsid w:val="00697806"/>
    <w:rsid w:val="006978D3"/>
    <w:rsid w:val="006A0EEA"/>
    <w:rsid w:val="006A2B10"/>
    <w:rsid w:val="006A2D6A"/>
    <w:rsid w:val="006A42CE"/>
    <w:rsid w:val="006A5978"/>
    <w:rsid w:val="006A6A2A"/>
    <w:rsid w:val="006A6C8C"/>
    <w:rsid w:val="006A7AA1"/>
    <w:rsid w:val="006B0597"/>
    <w:rsid w:val="006B0D25"/>
    <w:rsid w:val="006B1FA5"/>
    <w:rsid w:val="006B2134"/>
    <w:rsid w:val="006B255C"/>
    <w:rsid w:val="006B2963"/>
    <w:rsid w:val="006B2E9E"/>
    <w:rsid w:val="006B4AF8"/>
    <w:rsid w:val="006B54B9"/>
    <w:rsid w:val="006B62F0"/>
    <w:rsid w:val="006B7C1D"/>
    <w:rsid w:val="006B7E60"/>
    <w:rsid w:val="006C03F5"/>
    <w:rsid w:val="006C0EA9"/>
    <w:rsid w:val="006C137A"/>
    <w:rsid w:val="006C14BF"/>
    <w:rsid w:val="006C3603"/>
    <w:rsid w:val="006C3726"/>
    <w:rsid w:val="006C438F"/>
    <w:rsid w:val="006C43AC"/>
    <w:rsid w:val="006C68C3"/>
    <w:rsid w:val="006C728B"/>
    <w:rsid w:val="006C7302"/>
    <w:rsid w:val="006C774A"/>
    <w:rsid w:val="006C7DBD"/>
    <w:rsid w:val="006D0036"/>
    <w:rsid w:val="006D29BA"/>
    <w:rsid w:val="006D58A6"/>
    <w:rsid w:val="006D59F0"/>
    <w:rsid w:val="006D684C"/>
    <w:rsid w:val="006D6B66"/>
    <w:rsid w:val="006D6EAD"/>
    <w:rsid w:val="006D7135"/>
    <w:rsid w:val="006D7879"/>
    <w:rsid w:val="006E073E"/>
    <w:rsid w:val="006E0FC1"/>
    <w:rsid w:val="006E196D"/>
    <w:rsid w:val="006E2E3F"/>
    <w:rsid w:val="006E2F39"/>
    <w:rsid w:val="006E3C41"/>
    <w:rsid w:val="006E421E"/>
    <w:rsid w:val="006E6341"/>
    <w:rsid w:val="006E7F4E"/>
    <w:rsid w:val="006F0C4D"/>
    <w:rsid w:val="006F1CF4"/>
    <w:rsid w:val="006F2434"/>
    <w:rsid w:val="006F2D2C"/>
    <w:rsid w:val="006F3415"/>
    <w:rsid w:val="006F3D21"/>
    <w:rsid w:val="006F55DD"/>
    <w:rsid w:val="006F5BE0"/>
    <w:rsid w:val="006F6679"/>
    <w:rsid w:val="006F7860"/>
    <w:rsid w:val="006F7EA6"/>
    <w:rsid w:val="00700911"/>
    <w:rsid w:val="00702873"/>
    <w:rsid w:val="00702E4C"/>
    <w:rsid w:val="00703860"/>
    <w:rsid w:val="00704050"/>
    <w:rsid w:val="0070492C"/>
    <w:rsid w:val="00705627"/>
    <w:rsid w:val="00705D39"/>
    <w:rsid w:val="00706CDD"/>
    <w:rsid w:val="0070792A"/>
    <w:rsid w:val="00710422"/>
    <w:rsid w:val="007105CD"/>
    <w:rsid w:val="00711889"/>
    <w:rsid w:val="007124D6"/>
    <w:rsid w:val="007127AA"/>
    <w:rsid w:val="00714AFB"/>
    <w:rsid w:val="0071521D"/>
    <w:rsid w:val="00715B51"/>
    <w:rsid w:val="00715F79"/>
    <w:rsid w:val="00716079"/>
    <w:rsid w:val="0071665E"/>
    <w:rsid w:val="007177AA"/>
    <w:rsid w:val="00717C87"/>
    <w:rsid w:val="00721276"/>
    <w:rsid w:val="007219BD"/>
    <w:rsid w:val="00722578"/>
    <w:rsid w:val="00723301"/>
    <w:rsid w:val="007239B5"/>
    <w:rsid w:val="00723AA6"/>
    <w:rsid w:val="007241E6"/>
    <w:rsid w:val="0072452B"/>
    <w:rsid w:val="00725187"/>
    <w:rsid w:val="00725B68"/>
    <w:rsid w:val="00725BA9"/>
    <w:rsid w:val="0072624C"/>
    <w:rsid w:val="0072644A"/>
    <w:rsid w:val="00727E8C"/>
    <w:rsid w:val="00730F34"/>
    <w:rsid w:val="007313A8"/>
    <w:rsid w:val="00732156"/>
    <w:rsid w:val="0073334D"/>
    <w:rsid w:val="00735246"/>
    <w:rsid w:val="00736634"/>
    <w:rsid w:val="00736857"/>
    <w:rsid w:val="00736C88"/>
    <w:rsid w:val="00737145"/>
    <w:rsid w:val="00737D53"/>
    <w:rsid w:val="00737DEE"/>
    <w:rsid w:val="007415FC"/>
    <w:rsid w:val="00741AE5"/>
    <w:rsid w:val="00741C9A"/>
    <w:rsid w:val="00742482"/>
    <w:rsid w:val="00742A7B"/>
    <w:rsid w:val="00745005"/>
    <w:rsid w:val="00745309"/>
    <w:rsid w:val="00745E04"/>
    <w:rsid w:val="007474B6"/>
    <w:rsid w:val="00747FC9"/>
    <w:rsid w:val="00750309"/>
    <w:rsid w:val="00750614"/>
    <w:rsid w:val="00750883"/>
    <w:rsid w:val="0075182B"/>
    <w:rsid w:val="00751C1A"/>
    <w:rsid w:val="00752173"/>
    <w:rsid w:val="0075238E"/>
    <w:rsid w:val="007525C5"/>
    <w:rsid w:val="00752F28"/>
    <w:rsid w:val="00752FEF"/>
    <w:rsid w:val="00753962"/>
    <w:rsid w:val="00753A3D"/>
    <w:rsid w:val="0075427E"/>
    <w:rsid w:val="007542FB"/>
    <w:rsid w:val="007564FF"/>
    <w:rsid w:val="00756BDA"/>
    <w:rsid w:val="00757025"/>
    <w:rsid w:val="007570A4"/>
    <w:rsid w:val="00757E8E"/>
    <w:rsid w:val="00760A50"/>
    <w:rsid w:val="007618D8"/>
    <w:rsid w:val="007626F2"/>
    <w:rsid w:val="00762815"/>
    <w:rsid w:val="00762EE7"/>
    <w:rsid w:val="0076376E"/>
    <w:rsid w:val="0076549A"/>
    <w:rsid w:val="00765601"/>
    <w:rsid w:val="007665EC"/>
    <w:rsid w:val="00766982"/>
    <w:rsid w:val="00766DA5"/>
    <w:rsid w:val="007676FE"/>
    <w:rsid w:val="0076778D"/>
    <w:rsid w:val="00767AF1"/>
    <w:rsid w:val="00767DA2"/>
    <w:rsid w:val="0077009A"/>
    <w:rsid w:val="007706DB"/>
    <w:rsid w:val="00772130"/>
    <w:rsid w:val="007728CE"/>
    <w:rsid w:val="007728F5"/>
    <w:rsid w:val="00772AE2"/>
    <w:rsid w:val="00772B8A"/>
    <w:rsid w:val="00772F97"/>
    <w:rsid w:val="007731A7"/>
    <w:rsid w:val="00773404"/>
    <w:rsid w:val="00774A03"/>
    <w:rsid w:val="00775178"/>
    <w:rsid w:val="00775981"/>
    <w:rsid w:val="00777051"/>
    <w:rsid w:val="00781790"/>
    <w:rsid w:val="007828CB"/>
    <w:rsid w:val="00782AEF"/>
    <w:rsid w:val="00782C13"/>
    <w:rsid w:val="00784603"/>
    <w:rsid w:val="00784AE1"/>
    <w:rsid w:val="00784EDF"/>
    <w:rsid w:val="00785E81"/>
    <w:rsid w:val="007866E7"/>
    <w:rsid w:val="00786B8E"/>
    <w:rsid w:val="007874AF"/>
    <w:rsid w:val="0078788F"/>
    <w:rsid w:val="00787AFA"/>
    <w:rsid w:val="0079033D"/>
    <w:rsid w:val="00790419"/>
    <w:rsid w:val="007905D2"/>
    <w:rsid w:val="007922DE"/>
    <w:rsid w:val="00793614"/>
    <w:rsid w:val="00793BE3"/>
    <w:rsid w:val="00793E54"/>
    <w:rsid w:val="00793E61"/>
    <w:rsid w:val="007941FB"/>
    <w:rsid w:val="007946FE"/>
    <w:rsid w:val="0079481B"/>
    <w:rsid w:val="0079504B"/>
    <w:rsid w:val="00795CAE"/>
    <w:rsid w:val="00795D61"/>
    <w:rsid w:val="00795F51"/>
    <w:rsid w:val="0079688B"/>
    <w:rsid w:val="00797503"/>
    <w:rsid w:val="00797954"/>
    <w:rsid w:val="007A2BF8"/>
    <w:rsid w:val="007A3C7D"/>
    <w:rsid w:val="007A44AD"/>
    <w:rsid w:val="007A47B1"/>
    <w:rsid w:val="007A4817"/>
    <w:rsid w:val="007A4995"/>
    <w:rsid w:val="007A5849"/>
    <w:rsid w:val="007A609A"/>
    <w:rsid w:val="007A6750"/>
    <w:rsid w:val="007A6ACE"/>
    <w:rsid w:val="007A6D6A"/>
    <w:rsid w:val="007A6DB4"/>
    <w:rsid w:val="007A71EE"/>
    <w:rsid w:val="007B00DE"/>
    <w:rsid w:val="007B0D45"/>
    <w:rsid w:val="007B1846"/>
    <w:rsid w:val="007B18CB"/>
    <w:rsid w:val="007B1C89"/>
    <w:rsid w:val="007B2ED5"/>
    <w:rsid w:val="007B3052"/>
    <w:rsid w:val="007B45C7"/>
    <w:rsid w:val="007B5748"/>
    <w:rsid w:val="007B5981"/>
    <w:rsid w:val="007B6873"/>
    <w:rsid w:val="007B75D8"/>
    <w:rsid w:val="007C05B7"/>
    <w:rsid w:val="007C0724"/>
    <w:rsid w:val="007C266C"/>
    <w:rsid w:val="007C2B56"/>
    <w:rsid w:val="007C3C0A"/>
    <w:rsid w:val="007C3C64"/>
    <w:rsid w:val="007C51F3"/>
    <w:rsid w:val="007C698B"/>
    <w:rsid w:val="007C720A"/>
    <w:rsid w:val="007C7D87"/>
    <w:rsid w:val="007D083F"/>
    <w:rsid w:val="007D0EB2"/>
    <w:rsid w:val="007D0EE5"/>
    <w:rsid w:val="007D10F8"/>
    <w:rsid w:val="007D221E"/>
    <w:rsid w:val="007D237E"/>
    <w:rsid w:val="007D2DDE"/>
    <w:rsid w:val="007D34DC"/>
    <w:rsid w:val="007D3F7F"/>
    <w:rsid w:val="007D4BE7"/>
    <w:rsid w:val="007D4CD2"/>
    <w:rsid w:val="007D507E"/>
    <w:rsid w:val="007D51AE"/>
    <w:rsid w:val="007D5E2F"/>
    <w:rsid w:val="007D6612"/>
    <w:rsid w:val="007E0640"/>
    <w:rsid w:val="007E079A"/>
    <w:rsid w:val="007E1190"/>
    <w:rsid w:val="007E1F39"/>
    <w:rsid w:val="007E28BE"/>
    <w:rsid w:val="007E2E83"/>
    <w:rsid w:val="007E4700"/>
    <w:rsid w:val="007E4A61"/>
    <w:rsid w:val="007E4D1D"/>
    <w:rsid w:val="007E532C"/>
    <w:rsid w:val="007E631E"/>
    <w:rsid w:val="007E63D0"/>
    <w:rsid w:val="007E6558"/>
    <w:rsid w:val="007E757D"/>
    <w:rsid w:val="007F1065"/>
    <w:rsid w:val="007F1129"/>
    <w:rsid w:val="007F1C15"/>
    <w:rsid w:val="007F2530"/>
    <w:rsid w:val="007F26A9"/>
    <w:rsid w:val="007F329A"/>
    <w:rsid w:val="007F33D0"/>
    <w:rsid w:val="007F3E92"/>
    <w:rsid w:val="007F411A"/>
    <w:rsid w:val="007F4148"/>
    <w:rsid w:val="007F4B3F"/>
    <w:rsid w:val="007F4CAD"/>
    <w:rsid w:val="007F4CF4"/>
    <w:rsid w:val="007F5B63"/>
    <w:rsid w:val="007F65A1"/>
    <w:rsid w:val="007F67F5"/>
    <w:rsid w:val="007F75FF"/>
    <w:rsid w:val="007F7EFE"/>
    <w:rsid w:val="007F7F08"/>
    <w:rsid w:val="00800347"/>
    <w:rsid w:val="00801073"/>
    <w:rsid w:val="008010AF"/>
    <w:rsid w:val="0080121D"/>
    <w:rsid w:val="00801B2E"/>
    <w:rsid w:val="0080213F"/>
    <w:rsid w:val="008022DA"/>
    <w:rsid w:val="0080253C"/>
    <w:rsid w:val="00802B0F"/>
    <w:rsid w:val="008034D4"/>
    <w:rsid w:val="0080393F"/>
    <w:rsid w:val="00804165"/>
    <w:rsid w:val="00804DF8"/>
    <w:rsid w:val="00805A4D"/>
    <w:rsid w:val="00805BBF"/>
    <w:rsid w:val="00805C26"/>
    <w:rsid w:val="00806899"/>
    <w:rsid w:val="00806D0B"/>
    <w:rsid w:val="008075A9"/>
    <w:rsid w:val="00810F8D"/>
    <w:rsid w:val="00810F94"/>
    <w:rsid w:val="00811526"/>
    <w:rsid w:val="00812D17"/>
    <w:rsid w:val="00813DED"/>
    <w:rsid w:val="008140AD"/>
    <w:rsid w:val="00814404"/>
    <w:rsid w:val="00816237"/>
    <w:rsid w:val="00817446"/>
    <w:rsid w:val="008176DB"/>
    <w:rsid w:val="00817968"/>
    <w:rsid w:val="00817AFF"/>
    <w:rsid w:val="00817DB9"/>
    <w:rsid w:val="0082014F"/>
    <w:rsid w:val="00820FE5"/>
    <w:rsid w:val="008235D8"/>
    <w:rsid w:val="00823CE7"/>
    <w:rsid w:val="00823DF5"/>
    <w:rsid w:val="008242C6"/>
    <w:rsid w:val="00824D63"/>
    <w:rsid w:val="00827466"/>
    <w:rsid w:val="00827CBB"/>
    <w:rsid w:val="00831920"/>
    <w:rsid w:val="008325F6"/>
    <w:rsid w:val="0083649F"/>
    <w:rsid w:val="00836814"/>
    <w:rsid w:val="0083698A"/>
    <w:rsid w:val="00840695"/>
    <w:rsid w:val="00840B13"/>
    <w:rsid w:val="00843737"/>
    <w:rsid w:val="00843977"/>
    <w:rsid w:val="00845EC8"/>
    <w:rsid w:val="0084626E"/>
    <w:rsid w:val="00846414"/>
    <w:rsid w:val="008474B7"/>
    <w:rsid w:val="00850BE3"/>
    <w:rsid w:val="0085149B"/>
    <w:rsid w:val="00851554"/>
    <w:rsid w:val="00852C46"/>
    <w:rsid w:val="00854CFD"/>
    <w:rsid w:val="0085508D"/>
    <w:rsid w:val="00855231"/>
    <w:rsid w:val="008553A4"/>
    <w:rsid w:val="008577E6"/>
    <w:rsid w:val="00860598"/>
    <w:rsid w:val="00861631"/>
    <w:rsid w:val="00861B27"/>
    <w:rsid w:val="00861CF0"/>
    <w:rsid w:val="008635BC"/>
    <w:rsid w:val="0086404F"/>
    <w:rsid w:val="00864206"/>
    <w:rsid w:val="0086436B"/>
    <w:rsid w:val="008643DF"/>
    <w:rsid w:val="00865618"/>
    <w:rsid w:val="00865BB3"/>
    <w:rsid w:val="0086624C"/>
    <w:rsid w:val="00866991"/>
    <w:rsid w:val="00866FB6"/>
    <w:rsid w:val="00870E8B"/>
    <w:rsid w:val="008714E2"/>
    <w:rsid w:val="008740F4"/>
    <w:rsid w:val="00874283"/>
    <w:rsid w:val="008748D2"/>
    <w:rsid w:val="0087498E"/>
    <w:rsid w:val="00874C11"/>
    <w:rsid w:val="00876745"/>
    <w:rsid w:val="00876A27"/>
    <w:rsid w:val="00877140"/>
    <w:rsid w:val="00877A07"/>
    <w:rsid w:val="008808C9"/>
    <w:rsid w:val="00882A2B"/>
    <w:rsid w:val="00883218"/>
    <w:rsid w:val="0088355A"/>
    <w:rsid w:val="008837E8"/>
    <w:rsid w:val="00883B95"/>
    <w:rsid w:val="008848AC"/>
    <w:rsid w:val="00884C71"/>
    <w:rsid w:val="00885159"/>
    <w:rsid w:val="00886744"/>
    <w:rsid w:val="00886B63"/>
    <w:rsid w:val="00890A34"/>
    <w:rsid w:val="00890BC4"/>
    <w:rsid w:val="00890E70"/>
    <w:rsid w:val="00891C81"/>
    <w:rsid w:val="008920BA"/>
    <w:rsid w:val="0089229B"/>
    <w:rsid w:val="008927D8"/>
    <w:rsid w:val="00893CEE"/>
    <w:rsid w:val="00894A46"/>
    <w:rsid w:val="008A0E24"/>
    <w:rsid w:val="008A0F70"/>
    <w:rsid w:val="008A1B54"/>
    <w:rsid w:val="008A2F3C"/>
    <w:rsid w:val="008A3D8E"/>
    <w:rsid w:val="008A4B76"/>
    <w:rsid w:val="008A56B2"/>
    <w:rsid w:val="008A5A94"/>
    <w:rsid w:val="008A619A"/>
    <w:rsid w:val="008A6239"/>
    <w:rsid w:val="008A6B0F"/>
    <w:rsid w:val="008B0488"/>
    <w:rsid w:val="008B2C52"/>
    <w:rsid w:val="008B33C1"/>
    <w:rsid w:val="008B354B"/>
    <w:rsid w:val="008B3677"/>
    <w:rsid w:val="008B3DD4"/>
    <w:rsid w:val="008B4E81"/>
    <w:rsid w:val="008B5EC0"/>
    <w:rsid w:val="008B65F6"/>
    <w:rsid w:val="008B6B44"/>
    <w:rsid w:val="008C098F"/>
    <w:rsid w:val="008C0CA0"/>
    <w:rsid w:val="008C1A97"/>
    <w:rsid w:val="008C1C30"/>
    <w:rsid w:val="008C20BB"/>
    <w:rsid w:val="008C23EC"/>
    <w:rsid w:val="008C36B6"/>
    <w:rsid w:val="008C3932"/>
    <w:rsid w:val="008C4335"/>
    <w:rsid w:val="008C443A"/>
    <w:rsid w:val="008C6278"/>
    <w:rsid w:val="008D0CE0"/>
    <w:rsid w:val="008D176F"/>
    <w:rsid w:val="008D30C6"/>
    <w:rsid w:val="008D57EE"/>
    <w:rsid w:val="008D596B"/>
    <w:rsid w:val="008D6271"/>
    <w:rsid w:val="008D7183"/>
    <w:rsid w:val="008E023C"/>
    <w:rsid w:val="008E05F8"/>
    <w:rsid w:val="008E2BDA"/>
    <w:rsid w:val="008E3314"/>
    <w:rsid w:val="008E3521"/>
    <w:rsid w:val="008E3EAE"/>
    <w:rsid w:val="008E569D"/>
    <w:rsid w:val="008E5802"/>
    <w:rsid w:val="008E6325"/>
    <w:rsid w:val="008F2E68"/>
    <w:rsid w:val="008F311A"/>
    <w:rsid w:val="008F46BB"/>
    <w:rsid w:val="009007EB"/>
    <w:rsid w:val="00900C2F"/>
    <w:rsid w:val="00901104"/>
    <w:rsid w:val="00902467"/>
    <w:rsid w:val="0090283B"/>
    <w:rsid w:val="00902A7C"/>
    <w:rsid w:val="00902BBE"/>
    <w:rsid w:val="00902D16"/>
    <w:rsid w:val="009037FB"/>
    <w:rsid w:val="00903C50"/>
    <w:rsid w:val="00903F32"/>
    <w:rsid w:val="00904094"/>
    <w:rsid w:val="00904D51"/>
    <w:rsid w:val="009065A3"/>
    <w:rsid w:val="0090683B"/>
    <w:rsid w:val="00907567"/>
    <w:rsid w:val="009077EA"/>
    <w:rsid w:val="00910EDA"/>
    <w:rsid w:val="0091162C"/>
    <w:rsid w:val="00911E67"/>
    <w:rsid w:val="009121AB"/>
    <w:rsid w:val="00913253"/>
    <w:rsid w:val="009134A3"/>
    <w:rsid w:val="009135F5"/>
    <w:rsid w:val="00913DE9"/>
    <w:rsid w:val="00915ACB"/>
    <w:rsid w:val="00916281"/>
    <w:rsid w:val="00916366"/>
    <w:rsid w:val="00916624"/>
    <w:rsid w:val="009170B5"/>
    <w:rsid w:val="00917420"/>
    <w:rsid w:val="00917FEF"/>
    <w:rsid w:val="009205F6"/>
    <w:rsid w:val="00921C6E"/>
    <w:rsid w:val="00922564"/>
    <w:rsid w:val="00922C65"/>
    <w:rsid w:val="00924F11"/>
    <w:rsid w:val="00925F43"/>
    <w:rsid w:val="009270EA"/>
    <w:rsid w:val="00930262"/>
    <w:rsid w:val="009313F9"/>
    <w:rsid w:val="00931AC2"/>
    <w:rsid w:val="00931E30"/>
    <w:rsid w:val="00935012"/>
    <w:rsid w:val="009352A9"/>
    <w:rsid w:val="009361D8"/>
    <w:rsid w:val="009365B5"/>
    <w:rsid w:val="00936DB8"/>
    <w:rsid w:val="00937414"/>
    <w:rsid w:val="00937D25"/>
    <w:rsid w:val="009424AE"/>
    <w:rsid w:val="00943BCD"/>
    <w:rsid w:val="00944AC4"/>
    <w:rsid w:val="00945D83"/>
    <w:rsid w:val="00946312"/>
    <w:rsid w:val="0094657F"/>
    <w:rsid w:val="00946BC7"/>
    <w:rsid w:val="0094782B"/>
    <w:rsid w:val="00947FDB"/>
    <w:rsid w:val="00950572"/>
    <w:rsid w:val="009526BF"/>
    <w:rsid w:val="00952CB3"/>
    <w:rsid w:val="00953BBE"/>
    <w:rsid w:val="00953C1C"/>
    <w:rsid w:val="00953E39"/>
    <w:rsid w:val="00954164"/>
    <w:rsid w:val="009552D5"/>
    <w:rsid w:val="00956152"/>
    <w:rsid w:val="009561E1"/>
    <w:rsid w:val="0095653D"/>
    <w:rsid w:val="009605B3"/>
    <w:rsid w:val="009605DA"/>
    <w:rsid w:val="00960AD3"/>
    <w:rsid w:val="00961501"/>
    <w:rsid w:val="0096172A"/>
    <w:rsid w:val="009617E3"/>
    <w:rsid w:val="00962269"/>
    <w:rsid w:val="00962D72"/>
    <w:rsid w:val="0096355A"/>
    <w:rsid w:val="00963687"/>
    <w:rsid w:val="009642DC"/>
    <w:rsid w:val="0096447D"/>
    <w:rsid w:val="009649EF"/>
    <w:rsid w:val="00965C03"/>
    <w:rsid w:val="009668F1"/>
    <w:rsid w:val="00967987"/>
    <w:rsid w:val="00967EEA"/>
    <w:rsid w:val="00970072"/>
    <w:rsid w:val="00970107"/>
    <w:rsid w:val="00970566"/>
    <w:rsid w:val="00970B34"/>
    <w:rsid w:val="0097231B"/>
    <w:rsid w:val="00972F29"/>
    <w:rsid w:val="00975308"/>
    <w:rsid w:val="00976429"/>
    <w:rsid w:val="00976564"/>
    <w:rsid w:val="0097688B"/>
    <w:rsid w:val="009771A3"/>
    <w:rsid w:val="00977213"/>
    <w:rsid w:val="00977695"/>
    <w:rsid w:val="00980CBA"/>
    <w:rsid w:val="00980ED9"/>
    <w:rsid w:val="009813F5"/>
    <w:rsid w:val="009821B0"/>
    <w:rsid w:val="0098242A"/>
    <w:rsid w:val="009828DE"/>
    <w:rsid w:val="00982AB6"/>
    <w:rsid w:val="00982CF1"/>
    <w:rsid w:val="00982D26"/>
    <w:rsid w:val="00983278"/>
    <w:rsid w:val="0098353A"/>
    <w:rsid w:val="00984501"/>
    <w:rsid w:val="00985116"/>
    <w:rsid w:val="0098570E"/>
    <w:rsid w:val="00986E22"/>
    <w:rsid w:val="00987A6C"/>
    <w:rsid w:val="00987AAD"/>
    <w:rsid w:val="00987ADD"/>
    <w:rsid w:val="0099053B"/>
    <w:rsid w:val="00991DDE"/>
    <w:rsid w:val="0099306B"/>
    <w:rsid w:val="009939FF"/>
    <w:rsid w:val="009954FD"/>
    <w:rsid w:val="0099766A"/>
    <w:rsid w:val="009A09D9"/>
    <w:rsid w:val="009A2C5E"/>
    <w:rsid w:val="009A36B7"/>
    <w:rsid w:val="009A4B40"/>
    <w:rsid w:val="009A5083"/>
    <w:rsid w:val="009A5620"/>
    <w:rsid w:val="009A5C32"/>
    <w:rsid w:val="009A6AEA"/>
    <w:rsid w:val="009B0485"/>
    <w:rsid w:val="009B19D6"/>
    <w:rsid w:val="009B43EE"/>
    <w:rsid w:val="009B4822"/>
    <w:rsid w:val="009B50A3"/>
    <w:rsid w:val="009B581C"/>
    <w:rsid w:val="009B6E02"/>
    <w:rsid w:val="009B7D94"/>
    <w:rsid w:val="009C0B06"/>
    <w:rsid w:val="009C2E83"/>
    <w:rsid w:val="009C4126"/>
    <w:rsid w:val="009C4D36"/>
    <w:rsid w:val="009C5A66"/>
    <w:rsid w:val="009C61A9"/>
    <w:rsid w:val="009C62D6"/>
    <w:rsid w:val="009C670E"/>
    <w:rsid w:val="009C70A5"/>
    <w:rsid w:val="009C7B1C"/>
    <w:rsid w:val="009D15B7"/>
    <w:rsid w:val="009D2695"/>
    <w:rsid w:val="009D2D64"/>
    <w:rsid w:val="009D36A4"/>
    <w:rsid w:val="009D3C16"/>
    <w:rsid w:val="009D4ED8"/>
    <w:rsid w:val="009D5D40"/>
    <w:rsid w:val="009D5E52"/>
    <w:rsid w:val="009D679D"/>
    <w:rsid w:val="009D7D14"/>
    <w:rsid w:val="009E0982"/>
    <w:rsid w:val="009E1474"/>
    <w:rsid w:val="009E27DC"/>
    <w:rsid w:val="009E3086"/>
    <w:rsid w:val="009E3E73"/>
    <w:rsid w:val="009E40FE"/>
    <w:rsid w:val="009E445F"/>
    <w:rsid w:val="009E50C7"/>
    <w:rsid w:val="009E597D"/>
    <w:rsid w:val="009E5DB4"/>
    <w:rsid w:val="009E68B5"/>
    <w:rsid w:val="009E6CE0"/>
    <w:rsid w:val="009E7C85"/>
    <w:rsid w:val="009F1437"/>
    <w:rsid w:val="009F18F8"/>
    <w:rsid w:val="009F3CB2"/>
    <w:rsid w:val="009F3F9A"/>
    <w:rsid w:val="009F47A8"/>
    <w:rsid w:val="009F5377"/>
    <w:rsid w:val="009F5A60"/>
    <w:rsid w:val="009F6269"/>
    <w:rsid w:val="009F74A0"/>
    <w:rsid w:val="009F7766"/>
    <w:rsid w:val="009F7E5C"/>
    <w:rsid w:val="00A00DE0"/>
    <w:rsid w:val="00A0137A"/>
    <w:rsid w:val="00A0319D"/>
    <w:rsid w:val="00A0465B"/>
    <w:rsid w:val="00A04A3F"/>
    <w:rsid w:val="00A05E50"/>
    <w:rsid w:val="00A05F22"/>
    <w:rsid w:val="00A06989"/>
    <w:rsid w:val="00A06AB5"/>
    <w:rsid w:val="00A07007"/>
    <w:rsid w:val="00A108F0"/>
    <w:rsid w:val="00A11C2E"/>
    <w:rsid w:val="00A12023"/>
    <w:rsid w:val="00A1225D"/>
    <w:rsid w:val="00A12D48"/>
    <w:rsid w:val="00A13380"/>
    <w:rsid w:val="00A144A3"/>
    <w:rsid w:val="00A162A4"/>
    <w:rsid w:val="00A168ED"/>
    <w:rsid w:val="00A169C6"/>
    <w:rsid w:val="00A17072"/>
    <w:rsid w:val="00A17B57"/>
    <w:rsid w:val="00A2111A"/>
    <w:rsid w:val="00A219D7"/>
    <w:rsid w:val="00A21A71"/>
    <w:rsid w:val="00A2291A"/>
    <w:rsid w:val="00A249EF"/>
    <w:rsid w:val="00A24FCE"/>
    <w:rsid w:val="00A25E7C"/>
    <w:rsid w:val="00A265CA"/>
    <w:rsid w:val="00A30388"/>
    <w:rsid w:val="00A315B9"/>
    <w:rsid w:val="00A31841"/>
    <w:rsid w:val="00A31B68"/>
    <w:rsid w:val="00A3257A"/>
    <w:rsid w:val="00A329EE"/>
    <w:rsid w:val="00A32B29"/>
    <w:rsid w:val="00A33C7A"/>
    <w:rsid w:val="00A33E48"/>
    <w:rsid w:val="00A34AB1"/>
    <w:rsid w:val="00A3512C"/>
    <w:rsid w:val="00A35D6D"/>
    <w:rsid w:val="00A36561"/>
    <w:rsid w:val="00A367FC"/>
    <w:rsid w:val="00A36892"/>
    <w:rsid w:val="00A37F75"/>
    <w:rsid w:val="00A400EF"/>
    <w:rsid w:val="00A402E0"/>
    <w:rsid w:val="00A429C4"/>
    <w:rsid w:val="00A441CE"/>
    <w:rsid w:val="00A46504"/>
    <w:rsid w:val="00A473F9"/>
    <w:rsid w:val="00A479F4"/>
    <w:rsid w:val="00A50D3D"/>
    <w:rsid w:val="00A51969"/>
    <w:rsid w:val="00A52647"/>
    <w:rsid w:val="00A5266E"/>
    <w:rsid w:val="00A537E3"/>
    <w:rsid w:val="00A53BF2"/>
    <w:rsid w:val="00A53D3F"/>
    <w:rsid w:val="00A549D0"/>
    <w:rsid w:val="00A55912"/>
    <w:rsid w:val="00A56862"/>
    <w:rsid w:val="00A57DA5"/>
    <w:rsid w:val="00A57F87"/>
    <w:rsid w:val="00A6009E"/>
    <w:rsid w:val="00A602C3"/>
    <w:rsid w:val="00A62033"/>
    <w:rsid w:val="00A626CF"/>
    <w:rsid w:val="00A62E69"/>
    <w:rsid w:val="00A633E9"/>
    <w:rsid w:val="00A638DA"/>
    <w:rsid w:val="00A63CF4"/>
    <w:rsid w:val="00A64B9E"/>
    <w:rsid w:val="00A66385"/>
    <w:rsid w:val="00A663D6"/>
    <w:rsid w:val="00A66492"/>
    <w:rsid w:val="00A667DD"/>
    <w:rsid w:val="00A66CD1"/>
    <w:rsid w:val="00A66D22"/>
    <w:rsid w:val="00A67918"/>
    <w:rsid w:val="00A67B4F"/>
    <w:rsid w:val="00A67ECB"/>
    <w:rsid w:val="00A67F24"/>
    <w:rsid w:val="00A70BE2"/>
    <w:rsid w:val="00A70EA1"/>
    <w:rsid w:val="00A71507"/>
    <w:rsid w:val="00A71CCC"/>
    <w:rsid w:val="00A7250D"/>
    <w:rsid w:val="00A7253F"/>
    <w:rsid w:val="00A73290"/>
    <w:rsid w:val="00A73375"/>
    <w:rsid w:val="00A73713"/>
    <w:rsid w:val="00A744DB"/>
    <w:rsid w:val="00A7536D"/>
    <w:rsid w:val="00A75591"/>
    <w:rsid w:val="00A75A45"/>
    <w:rsid w:val="00A825EF"/>
    <w:rsid w:val="00A82A4A"/>
    <w:rsid w:val="00A82C54"/>
    <w:rsid w:val="00A857B3"/>
    <w:rsid w:val="00A85B30"/>
    <w:rsid w:val="00A85EB6"/>
    <w:rsid w:val="00A86589"/>
    <w:rsid w:val="00A87577"/>
    <w:rsid w:val="00A87FA8"/>
    <w:rsid w:val="00A87FF8"/>
    <w:rsid w:val="00A917D6"/>
    <w:rsid w:val="00A9303E"/>
    <w:rsid w:val="00A93237"/>
    <w:rsid w:val="00A93FE8"/>
    <w:rsid w:val="00A941FB"/>
    <w:rsid w:val="00A94D6D"/>
    <w:rsid w:val="00A9512D"/>
    <w:rsid w:val="00A95AA2"/>
    <w:rsid w:val="00A95E35"/>
    <w:rsid w:val="00A96381"/>
    <w:rsid w:val="00A96EEC"/>
    <w:rsid w:val="00A97714"/>
    <w:rsid w:val="00AA0D7F"/>
    <w:rsid w:val="00AA0EDB"/>
    <w:rsid w:val="00AA15F8"/>
    <w:rsid w:val="00AA1ED8"/>
    <w:rsid w:val="00AA1EE6"/>
    <w:rsid w:val="00AA21A6"/>
    <w:rsid w:val="00AA230F"/>
    <w:rsid w:val="00AA286F"/>
    <w:rsid w:val="00AA53AE"/>
    <w:rsid w:val="00AA560B"/>
    <w:rsid w:val="00AA5A2B"/>
    <w:rsid w:val="00AA71C3"/>
    <w:rsid w:val="00AB04F3"/>
    <w:rsid w:val="00AB1285"/>
    <w:rsid w:val="00AB2107"/>
    <w:rsid w:val="00AB2B16"/>
    <w:rsid w:val="00AB2DA6"/>
    <w:rsid w:val="00AB3624"/>
    <w:rsid w:val="00AB36FA"/>
    <w:rsid w:val="00AB56F8"/>
    <w:rsid w:val="00AB5AE5"/>
    <w:rsid w:val="00AB5DE7"/>
    <w:rsid w:val="00AB6681"/>
    <w:rsid w:val="00AB727F"/>
    <w:rsid w:val="00AB798C"/>
    <w:rsid w:val="00AC0E76"/>
    <w:rsid w:val="00AC186B"/>
    <w:rsid w:val="00AC1CF4"/>
    <w:rsid w:val="00AC314A"/>
    <w:rsid w:val="00AC31BB"/>
    <w:rsid w:val="00AC365B"/>
    <w:rsid w:val="00AC379B"/>
    <w:rsid w:val="00AC4EF4"/>
    <w:rsid w:val="00AC4FFC"/>
    <w:rsid w:val="00AC553A"/>
    <w:rsid w:val="00AC5C6E"/>
    <w:rsid w:val="00AC6607"/>
    <w:rsid w:val="00AC6B14"/>
    <w:rsid w:val="00AC7272"/>
    <w:rsid w:val="00AC7AC3"/>
    <w:rsid w:val="00AD0D57"/>
    <w:rsid w:val="00AD1823"/>
    <w:rsid w:val="00AD2631"/>
    <w:rsid w:val="00AD2B28"/>
    <w:rsid w:val="00AD2CE0"/>
    <w:rsid w:val="00AD39FA"/>
    <w:rsid w:val="00AD3A2D"/>
    <w:rsid w:val="00AD3DBC"/>
    <w:rsid w:val="00AD4B09"/>
    <w:rsid w:val="00AD4C9F"/>
    <w:rsid w:val="00AD50FD"/>
    <w:rsid w:val="00AD5226"/>
    <w:rsid w:val="00AD5367"/>
    <w:rsid w:val="00AD5386"/>
    <w:rsid w:val="00AD62A0"/>
    <w:rsid w:val="00AE0631"/>
    <w:rsid w:val="00AE18E1"/>
    <w:rsid w:val="00AE24F0"/>
    <w:rsid w:val="00AE2763"/>
    <w:rsid w:val="00AE2E28"/>
    <w:rsid w:val="00AE34F2"/>
    <w:rsid w:val="00AE3647"/>
    <w:rsid w:val="00AE37B5"/>
    <w:rsid w:val="00AE5651"/>
    <w:rsid w:val="00AE6250"/>
    <w:rsid w:val="00AE6505"/>
    <w:rsid w:val="00AE69AD"/>
    <w:rsid w:val="00AF0794"/>
    <w:rsid w:val="00AF08E9"/>
    <w:rsid w:val="00AF12CA"/>
    <w:rsid w:val="00AF130E"/>
    <w:rsid w:val="00AF1671"/>
    <w:rsid w:val="00AF2C01"/>
    <w:rsid w:val="00AF3479"/>
    <w:rsid w:val="00AF3C0B"/>
    <w:rsid w:val="00AF4099"/>
    <w:rsid w:val="00AF4FA8"/>
    <w:rsid w:val="00AF6EEE"/>
    <w:rsid w:val="00AF7A59"/>
    <w:rsid w:val="00B00922"/>
    <w:rsid w:val="00B02310"/>
    <w:rsid w:val="00B02EFC"/>
    <w:rsid w:val="00B05F86"/>
    <w:rsid w:val="00B063D8"/>
    <w:rsid w:val="00B1020D"/>
    <w:rsid w:val="00B102A0"/>
    <w:rsid w:val="00B10E99"/>
    <w:rsid w:val="00B1172E"/>
    <w:rsid w:val="00B11AD3"/>
    <w:rsid w:val="00B12783"/>
    <w:rsid w:val="00B12943"/>
    <w:rsid w:val="00B12F1A"/>
    <w:rsid w:val="00B14CE2"/>
    <w:rsid w:val="00B14D22"/>
    <w:rsid w:val="00B14E5B"/>
    <w:rsid w:val="00B14FB2"/>
    <w:rsid w:val="00B15368"/>
    <w:rsid w:val="00B15E43"/>
    <w:rsid w:val="00B16648"/>
    <w:rsid w:val="00B16872"/>
    <w:rsid w:val="00B16E37"/>
    <w:rsid w:val="00B17863"/>
    <w:rsid w:val="00B217C2"/>
    <w:rsid w:val="00B22788"/>
    <w:rsid w:val="00B227EF"/>
    <w:rsid w:val="00B235D5"/>
    <w:rsid w:val="00B23BC6"/>
    <w:rsid w:val="00B2433B"/>
    <w:rsid w:val="00B2551D"/>
    <w:rsid w:val="00B25659"/>
    <w:rsid w:val="00B25ECB"/>
    <w:rsid w:val="00B305D6"/>
    <w:rsid w:val="00B30BDB"/>
    <w:rsid w:val="00B3135E"/>
    <w:rsid w:val="00B318DC"/>
    <w:rsid w:val="00B31C93"/>
    <w:rsid w:val="00B342EC"/>
    <w:rsid w:val="00B34611"/>
    <w:rsid w:val="00B34889"/>
    <w:rsid w:val="00B352DB"/>
    <w:rsid w:val="00B35DFD"/>
    <w:rsid w:val="00B36116"/>
    <w:rsid w:val="00B363A0"/>
    <w:rsid w:val="00B373DF"/>
    <w:rsid w:val="00B40CB1"/>
    <w:rsid w:val="00B41FA9"/>
    <w:rsid w:val="00B429AF"/>
    <w:rsid w:val="00B42A79"/>
    <w:rsid w:val="00B4301E"/>
    <w:rsid w:val="00B436E5"/>
    <w:rsid w:val="00B44236"/>
    <w:rsid w:val="00B46CFF"/>
    <w:rsid w:val="00B46D31"/>
    <w:rsid w:val="00B47084"/>
    <w:rsid w:val="00B534DC"/>
    <w:rsid w:val="00B53A41"/>
    <w:rsid w:val="00B557FD"/>
    <w:rsid w:val="00B55C58"/>
    <w:rsid w:val="00B56CD8"/>
    <w:rsid w:val="00B574C2"/>
    <w:rsid w:val="00B61D55"/>
    <w:rsid w:val="00B62AE4"/>
    <w:rsid w:val="00B63A4C"/>
    <w:rsid w:val="00B64F4E"/>
    <w:rsid w:val="00B660B2"/>
    <w:rsid w:val="00B66601"/>
    <w:rsid w:val="00B6723C"/>
    <w:rsid w:val="00B67722"/>
    <w:rsid w:val="00B67A22"/>
    <w:rsid w:val="00B700A1"/>
    <w:rsid w:val="00B70248"/>
    <w:rsid w:val="00B7101A"/>
    <w:rsid w:val="00B719A0"/>
    <w:rsid w:val="00B7211A"/>
    <w:rsid w:val="00B7360B"/>
    <w:rsid w:val="00B73C7A"/>
    <w:rsid w:val="00B74239"/>
    <w:rsid w:val="00B751CA"/>
    <w:rsid w:val="00B7542A"/>
    <w:rsid w:val="00B754C7"/>
    <w:rsid w:val="00B75F5A"/>
    <w:rsid w:val="00B7729E"/>
    <w:rsid w:val="00B774FF"/>
    <w:rsid w:val="00B806CD"/>
    <w:rsid w:val="00B83142"/>
    <w:rsid w:val="00B83442"/>
    <w:rsid w:val="00B84AF1"/>
    <w:rsid w:val="00B84B9F"/>
    <w:rsid w:val="00B85001"/>
    <w:rsid w:val="00B860A0"/>
    <w:rsid w:val="00B862FF"/>
    <w:rsid w:val="00B8642F"/>
    <w:rsid w:val="00B86636"/>
    <w:rsid w:val="00B87C29"/>
    <w:rsid w:val="00B92034"/>
    <w:rsid w:val="00B935E7"/>
    <w:rsid w:val="00B93930"/>
    <w:rsid w:val="00B93B2C"/>
    <w:rsid w:val="00B93C32"/>
    <w:rsid w:val="00B942C2"/>
    <w:rsid w:val="00B965DC"/>
    <w:rsid w:val="00B969E3"/>
    <w:rsid w:val="00B97143"/>
    <w:rsid w:val="00B9736D"/>
    <w:rsid w:val="00BA0869"/>
    <w:rsid w:val="00BA0AEA"/>
    <w:rsid w:val="00BA154D"/>
    <w:rsid w:val="00BA2887"/>
    <w:rsid w:val="00BA2CAF"/>
    <w:rsid w:val="00BA3D96"/>
    <w:rsid w:val="00BA3ECC"/>
    <w:rsid w:val="00BA3F0D"/>
    <w:rsid w:val="00BA463E"/>
    <w:rsid w:val="00BA4E49"/>
    <w:rsid w:val="00BA57D1"/>
    <w:rsid w:val="00BA5968"/>
    <w:rsid w:val="00BA6625"/>
    <w:rsid w:val="00BA6887"/>
    <w:rsid w:val="00BB0A97"/>
    <w:rsid w:val="00BB1162"/>
    <w:rsid w:val="00BB14C3"/>
    <w:rsid w:val="00BB17C3"/>
    <w:rsid w:val="00BB1A46"/>
    <w:rsid w:val="00BB1D26"/>
    <w:rsid w:val="00BB30C9"/>
    <w:rsid w:val="00BB3B27"/>
    <w:rsid w:val="00BB3BD2"/>
    <w:rsid w:val="00BB445F"/>
    <w:rsid w:val="00BB4FBF"/>
    <w:rsid w:val="00BB6DFF"/>
    <w:rsid w:val="00BB7E60"/>
    <w:rsid w:val="00BC10E9"/>
    <w:rsid w:val="00BC24B7"/>
    <w:rsid w:val="00BC3FEE"/>
    <w:rsid w:val="00BC50C0"/>
    <w:rsid w:val="00BC5B62"/>
    <w:rsid w:val="00BC6C0F"/>
    <w:rsid w:val="00BD014F"/>
    <w:rsid w:val="00BD0B38"/>
    <w:rsid w:val="00BD0FA7"/>
    <w:rsid w:val="00BD21F2"/>
    <w:rsid w:val="00BD2495"/>
    <w:rsid w:val="00BD26E3"/>
    <w:rsid w:val="00BD378C"/>
    <w:rsid w:val="00BD4921"/>
    <w:rsid w:val="00BD50D3"/>
    <w:rsid w:val="00BD5561"/>
    <w:rsid w:val="00BD7418"/>
    <w:rsid w:val="00BD7D4F"/>
    <w:rsid w:val="00BE122C"/>
    <w:rsid w:val="00BE1845"/>
    <w:rsid w:val="00BE2BF4"/>
    <w:rsid w:val="00BE2D00"/>
    <w:rsid w:val="00BE2EB2"/>
    <w:rsid w:val="00BE347B"/>
    <w:rsid w:val="00BE5181"/>
    <w:rsid w:val="00BE54B8"/>
    <w:rsid w:val="00BE5EFE"/>
    <w:rsid w:val="00BE7899"/>
    <w:rsid w:val="00BF043E"/>
    <w:rsid w:val="00BF0D92"/>
    <w:rsid w:val="00BF1156"/>
    <w:rsid w:val="00BF13AA"/>
    <w:rsid w:val="00BF1684"/>
    <w:rsid w:val="00BF2356"/>
    <w:rsid w:val="00BF33BD"/>
    <w:rsid w:val="00BF3C20"/>
    <w:rsid w:val="00BF3DD6"/>
    <w:rsid w:val="00BF467C"/>
    <w:rsid w:val="00BF4739"/>
    <w:rsid w:val="00BF4810"/>
    <w:rsid w:val="00BF4826"/>
    <w:rsid w:val="00BF54E4"/>
    <w:rsid w:val="00BF5C18"/>
    <w:rsid w:val="00BF5C43"/>
    <w:rsid w:val="00BF67F5"/>
    <w:rsid w:val="00BF7713"/>
    <w:rsid w:val="00C00721"/>
    <w:rsid w:val="00C00802"/>
    <w:rsid w:val="00C00A00"/>
    <w:rsid w:val="00C00F7D"/>
    <w:rsid w:val="00C012D0"/>
    <w:rsid w:val="00C015DE"/>
    <w:rsid w:val="00C01FAE"/>
    <w:rsid w:val="00C025ED"/>
    <w:rsid w:val="00C02D30"/>
    <w:rsid w:val="00C038A7"/>
    <w:rsid w:val="00C04731"/>
    <w:rsid w:val="00C04F21"/>
    <w:rsid w:val="00C05251"/>
    <w:rsid w:val="00C0594F"/>
    <w:rsid w:val="00C062E5"/>
    <w:rsid w:val="00C06DC5"/>
    <w:rsid w:val="00C10021"/>
    <w:rsid w:val="00C103D5"/>
    <w:rsid w:val="00C12917"/>
    <w:rsid w:val="00C14217"/>
    <w:rsid w:val="00C1475D"/>
    <w:rsid w:val="00C147AC"/>
    <w:rsid w:val="00C15192"/>
    <w:rsid w:val="00C153FD"/>
    <w:rsid w:val="00C15A77"/>
    <w:rsid w:val="00C15FDB"/>
    <w:rsid w:val="00C16FBB"/>
    <w:rsid w:val="00C207FE"/>
    <w:rsid w:val="00C21CDA"/>
    <w:rsid w:val="00C22482"/>
    <w:rsid w:val="00C2259F"/>
    <w:rsid w:val="00C23377"/>
    <w:rsid w:val="00C243AB"/>
    <w:rsid w:val="00C25521"/>
    <w:rsid w:val="00C262FC"/>
    <w:rsid w:val="00C2665F"/>
    <w:rsid w:val="00C268C6"/>
    <w:rsid w:val="00C273B3"/>
    <w:rsid w:val="00C2773E"/>
    <w:rsid w:val="00C314D1"/>
    <w:rsid w:val="00C32029"/>
    <w:rsid w:val="00C3251C"/>
    <w:rsid w:val="00C33400"/>
    <w:rsid w:val="00C34067"/>
    <w:rsid w:val="00C345A3"/>
    <w:rsid w:val="00C34A08"/>
    <w:rsid w:val="00C34DF3"/>
    <w:rsid w:val="00C34DFF"/>
    <w:rsid w:val="00C355C0"/>
    <w:rsid w:val="00C3598C"/>
    <w:rsid w:val="00C35EA9"/>
    <w:rsid w:val="00C362D4"/>
    <w:rsid w:val="00C36AF5"/>
    <w:rsid w:val="00C36EC5"/>
    <w:rsid w:val="00C40843"/>
    <w:rsid w:val="00C40C4B"/>
    <w:rsid w:val="00C42D66"/>
    <w:rsid w:val="00C44633"/>
    <w:rsid w:val="00C453D9"/>
    <w:rsid w:val="00C457B2"/>
    <w:rsid w:val="00C45EE6"/>
    <w:rsid w:val="00C46373"/>
    <w:rsid w:val="00C4688A"/>
    <w:rsid w:val="00C46912"/>
    <w:rsid w:val="00C46D9B"/>
    <w:rsid w:val="00C46F44"/>
    <w:rsid w:val="00C47F91"/>
    <w:rsid w:val="00C5162B"/>
    <w:rsid w:val="00C568A3"/>
    <w:rsid w:val="00C57539"/>
    <w:rsid w:val="00C5759C"/>
    <w:rsid w:val="00C5770B"/>
    <w:rsid w:val="00C600F1"/>
    <w:rsid w:val="00C60C12"/>
    <w:rsid w:val="00C61915"/>
    <w:rsid w:val="00C634FC"/>
    <w:rsid w:val="00C64536"/>
    <w:rsid w:val="00C65961"/>
    <w:rsid w:val="00C65F2C"/>
    <w:rsid w:val="00C668EB"/>
    <w:rsid w:val="00C70007"/>
    <w:rsid w:val="00C702A9"/>
    <w:rsid w:val="00C707D8"/>
    <w:rsid w:val="00C70F37"/>
    <w:rsid w:val="00C726D8"/>
    <w:rsid w:val="00C72E08"/>
    <w:rsid w:val="00C72F44"/>
    <w:rsid w:val="00C72FF1"/>
    <w:rsid w:val="00C740F5"/>
    <w:rsid w:val="00C74C25"/>
    <w:rsid w:val="00C75638"/>
    <w:rsid w:val="00C761A3"/>
    <w:rsid w:val="00C76E5A"/>
    <w:rsid w:val="00C773F3"/>
    <w:rsid w:val="00C77596"/>
    <w:rsid w:val="00C77D17"/>
    <w:rsid w:val="00C81181"/>
    <w:rsid w:val="00C81198"/>
    <w:rsid w:val="00C820FC"/>
    <w:rsid w:val="00C82508"/>
    <w:rsid w:val="00C83319"/>
    <w:rsid w:val="00C839D1"/>
    <w:rsid w:val="00C8457E"/>
    <w:rsid w:val="00C845EA"/>
    <w:rsid w:val="00C86D4C"/>
    <w:rsid w:val="00C870FB"/>
    <w:rsid w:val="00C87E2A"/>
    <w:rsid w:val="00C92573"/>
    <w:rsid w:val="00C9300C"/>
    <w:rsid w:val="00C937D6"/>
    <w:rsid w:val="00C9433F"/>
    <w:rsid w:val="00C963F1"/>
    <w:rsid w:val="00C9673E"/>
    <w:rsid w:val="00C971CF"/>
    <w:rsid w:val="00C97404"/>
    <w:rsid w:val="00C975F8"/>
    <w:rsid w:val="00C97981"/>
    <w:rsid w:val="00C97B35"/>
    <w:rsid w:val="00C97B82"/>
    <w:rsid w:val="00CA01F4"/>
    <w:rsid w:val="00CA10DF"/>
    <w:rsid w:val="00CA1726"/>
    <w:rsid w:val="00CA39CB"/>
    <w:rsid w:val="00CA3A03"/>
    <w:rsid w:val="00CA4543"/>
    <w:rsid w:val="00CA5556"/>
    <w:rsid w:val="00CA5F45"/>
    <w:rsid w:val="00CA62D3"/>
    <w:rsid w:val="00CA6374"/>
    <w:rsid w:val="00CA64E8"/>
    <w:rsid w:val="00CA6624"/>
    <w:rsid w:val="00CA7C8B"/>
    <w:rsid w:val="00CA7F8F"/>
    <w:rsid w:val="00CB0009"/>
    <w:rsid w:val="00CB04AF"/>
    <w:rsid w:val="00CB0627"/>
    <w:rsid w:val="00CB3AD6"/>
    <w:rsid w:val="00CB41B5"/>
    <w:rsid w:val="00CB70FF"/>
    <w:rsid w:val="00CC13E9"/>
    <w:rsid w:val="00CC2A02"/>
    <w:rsid w:val="00CC3962"/>
    <w:rsid w:val="00CC41D9"/>
    <w:rsid w:val="00CC4A1E"/>
    <w:rsid w:val="00CC6AB4"/>
    <w:rsid w:val="00CD04A5"/>
    <w:rsid w:val="00CD07C8"/>
    <w:rsid w:val="00CD0E3D"/>
    <w:rsid w:val="00CD0EA9"/>
    <w:rsid w:val="00CD137A"/>
    <w:rsid w:val="00CD1D41"/>
    <w:rsid w:val="00CD3398"/>
    <w:rsid w:val="00CD37A7"/>
    <w:rsid w:val="00CD41B8"/>
    <w:rsid w:val="00CD4604"/>
    <w:rsid w:val="00CD5673"/>
    <w:rsid w:val="00CD5B68"/>
    <w:rsid w:val="00CD70AA"/>
    <w:rsid w:val="00CD70B5"/>
    <w:rsid w:val="00CD7E73"/>
    <w:rsid w:val="00CE019D"/>
    <w:rsid w:val="00CE0F4B"/>
    <w:rsid w:val="00CE1743"/>
    <w:rsid w:val="00CE1786"/>
    <w:rsid w:val="00CE2667"/>
    <w:rsid w:val="00CE283B"/>
    <w:rsid w:val="00CE2971"/>
    <w:rsid w:val="00CE2BB8"/>
    <w:rsid w:val="00CE46DC"/>
    <w:rsid w:val="00CE4AA8"/>
    <w:rsid w:val="00CE5200"/>
    <w:rsid w:val="00CE5464"/>
    <w:rsid w:val="00CE55F3"/>
    <w:rsid w:val="00CE574E"/>
    <w:rsid w:val="00CE5B80"/>
    <w:rsid w:val="00CE6997"/>
    <w:rsid w:val="00CE6B3A"/>
    <w:rsid w:val="00CE7E69"/>
    <w:rsid w:val="00CF141D"/>
    <w:rsid w:val="00CF162D"/>
    <w:rsid w:val="00CF1CA9"/>
    <w:rsid w:val="00CF2E02"/>
    <w:rsid w:val="00CF3BF5"/>
    <w:rsid w:val="00CF4CC2"/>
    <w:rsid w:val="00CF5198"/>
    <w:rsid w:val="00CF6510"/>
    <w:rsid w:val="00CF65B9"/>
    <w:rsid w:val="00D008F4"/>
    <w:rsid w:val="00D00EC7"/>
    <w:rsid w:val="00D032A0"/>
    <w:rsid w:val="00D035E5"/>
    <w:rsid w:val="00D04CBB"/>
    <w:rsid w:val="00D05BA9"/>
    <w:rsid w:val="00D0650D"/>
    <w:rsid w:val="00D07047"/>
    <w:rsid w:val="00D07317"/>
    <w:rsid w:val="00D07C79"/>
    <w:rsid w:val="00D10D8A"/>
    <w:rsid w:val="00D10DBB"/>
    <w:rsid w:val="00D10ED7"/>
    <w:rsid w:val="00D132AF"/>
    <w:rsid w:val="00D13931"/>
    <w:rsid w:val="00D14BE1"/>
    <w:rsid w:val="00D15EFF"/>
    <w:rsid w:val="00D16A61"/>
    <w:rsid w:val="00D17B8E"/>
    <w:rsid w:val="00D20BAE"/>
    <w:rsid w:val="00D20CCA"/>
    <w:rsid w:val="00D21364"/>
    <w:rsid w:val="00D21A5E"/>
    <w:rsid w:val="00D22B9D"/>
    <w:rsid w:val="00D24F34"/>
    <w:rsid w:val="00D25661"/>
    <w:rsid w:val="00D2635C"/>
    <w:rsid w:val="00D2682A"/>
    <w:rsid w:val="00D30BC4"/>
    <w:rsid w:val="00D31117"/>
    <w:rsid w:val="00D32828"/>
    <w:rsid w:val="00D32B90"/>
    <w:rsid w:val="00D339D2"/>
    <w:rsid w:val="00D34ABE"/>
    <w:rsid w:val="00D35ABE"/>
    <w:rsid w:val="00D36579"/>
    <w:rsid w:val="00D371EE"/>
    <w:rsid w:val="00D37588"/>
    <w:rsid w:val="00D40AF3"/>
    <w:rsid w:val="00D4100E"/>
    <w:rsid w:val="00D415F4"/>
    <w:rsid w:val="00D41E07"/>
    <w:rsid w:val="00D41F2A"/>
    <w:rsid w:val="00D41FC7"/>
    <w:rsid w:val="00D42E24"/>
    <w:rsid w:val="00D43B97"/>
    <w:rsid w:val="00D44641"/>
    <w:rsid w:val="00D45BE5"/>
    <w:rsid w:val="00D45C40"/>
    <w:rsid w:val="00D460E3"/>
    <w:rsid w:val="00D47011"/>
    <w:rsid w:val="00D47916"/>
    <w:rsid w:val="00D47B5F"/>
    <w:rsid w:val="00D47E81"/>
    <w:rsid w:val="00D5001B"/>
    <w:rsid w:val="00D50551"/>
    <w:rsid w:val="00D50D0A"/>
    <w:rsid w:val="00D50F21"/>
    <w:rsid w:val="00D510DF"/>
    <w:rsid w:val="00D5148B"/>
    <w:rsid w:val="00D51982"/>
    <w:rsid w:val="00D51BDB"/>
    <w:rsid w:val="00D51D0C"/>
    <w:rsid w:val="00D533D5"/>
    <w:rsid w:val="00D53D88"/>
    <w:rsid w:val="00D549B2"/>
    <w:rsid w:val="00D54D06"/>
    <w:rsid w:val="00D54D6B"/>
    <w:rsid w:val="00D57098"/>
    <w:rsid w:val="00D57134"/>
    <w:rsid w:val="00D602E0"/>
    <w:rsid w:val="00D605E0"/>
    <w:rsid w:val="00D609F5"/>
    <w:rsid w:val="00D62A19"/>
    <w:rsid w:val="00D6371C"/>
    <w:rsid w:val="00D64235"/>
    <w:rsid w:val="00D650BB"/>
    <w:rsid w:val="00D6551E"/>
    <w:rsid w:val="00D657CB"/>
    <w:rsid w:val="00D66724"/>
    <w:rsid w:val="00D66A92"/>
    <w:rsid w:val="00D67856"/>
    <w:rsid w:val="00D704E2"/>
    <w:rsid w:val="00D71910"/>
    <w:rsid w:val="00D73525"/>
    <w:rsid w:val="00D757EE"/>
    <w:rsid w:val="00D769D5"/>
    <w:rsid w:val="00D804AF"/>
    <w:rsid w:val="00D80970"/>
    <w:rsid w:val="00D82005"/>
    <w:rsid w:val="00D82249"/>
    <w:rsid w:val="00D83923"/>
    <w:rsid w:val="00D85C23"/>
    <w:rsid w:val="00D86845"/>
    <w:rsid w:val="00D86E20"/>
    <w:rsid w:val="00D872CB"/>
    <w:rsid w:val="00D875DA"/>
    <w:rsid w:val="00D87CD9"/>
    <w:rsid w:val="00D87E8C"/>
    <w:rsid w:val="00D90E10"/>
    <w:rsid w:val="00D94751"/>
    <w:rsid w:val="00D951C0"/>
    <w:rsid w:val="00D956B5"/>
    <w:rsid w:val="00D968E4"/>
    <w:rsid w:val="00D96970"/>
    <w:rsid w:val="00D96C55"/>
    <w:rsid w:val="00D96DD9"/>
    <w:rsid w:val="00D97494"/>
    <w:rsid w:val="00DA096A"/>
    <w:rsid w:val="00DA0BBC"/>
    <w:rsid w:val="00DA0E41"/>
    <w:rsid w:val="00DA0F17"/>
    <w:rsid w:val="00DA19BE"/>
    <w:rsid w:val="00DA40C1"/>
    <w:rsid w:val="00DA4DF6"/>
    <w:rsid w:val="00DA4FA3"/>
    <w:rsid w:val="00DA513C"/>
    <w:rsid w:val="00DA5541"/>
    <w:rsid w:val="00DA5D57"/>
    <w:rsid w:val="00DA735E"/>
    <w:rsid w:val="00DA7612"/>
    <w:rsid w:val="00DA7FE0"/>
    <w:rsid w:val="00DB1AA7"/>
    <w:rsid w:val="00DB1E91"/>
    <w:rsid w:val="00DB4A94"/>
    <w:rsid w:val="00DB552D"/>
    <w:rsid w:val="00DB5920"/>
    <w:rsid w:val="00DB5A5F"/>
    <w:rsid w:val="00DB7314"/>
    <w:rsid w:val="00DC0385"/>
    <w:rsid w:val="00DC0E97"/>
    <w:rsid w:val="00DC1878"/>
    <w:rsid w:val="00DC203D"/>
    <w:rsid w:val="00DC2601"/>
    <w:rsid w:val="00DC61E3"/>
    <w:rsid w:val="00DC6710"/>
    <w:rsid w:val="00DC73F7"/>
    <w:rsid w:val="00DC75CB"/>
    <w:rsid w:val="00DC7FCC"/>
    <w:rsid w:val="00DD04D8"/>
    <w:rsid w:val="00DD0C45"/>
    <w:rsid w:val="00DD2D4C"/>
    <w:rsid w:val="00DD35FE"/>
    <w:rsid w:val="00DD52EE"/>
    <w:rsid w:val="00DD59D1"/>
    <w:rsid w:val="00DD5CEF"/>
    <w:rsid w:val="00DD706D"/>
    <w:rsid w:val="00DD72A3"/>
    <w:rsid w:val="00DD7849"/>
    <w:rsid w:val="00DD7BA9"/>
    <w:rsid w:val="00DD7E2D"/>
    <w:rsid w:val="00DE0303"/>
    <w:rsid w:val="00DE124A"/>
    <w:rsid w:val="00DE1303"/>
    <w:rsid w:val="00DE2EA9"/>
    <w:rsid w:val="00DE3742"/>
    <w:rsid w:val="00DE3E65"/>
    <w:rsid w:val="00DE536A"/>
    <w:rsid w:val="00DE54AB"/>
    <w:rsid w:val="00DE5CA1"/>
    <w:rsid w:val="00DE5DD2"/>
    <w:rsid w:val="00DE6A8A"/>
    <w:rsid w:val="00DE6E5C"/>
    <w:rsid w:val="00DE7823"/>
    <w:rsid w:val="00DE7ED5"/>
    <w:rsid w:val="00DF0405"/>
    <w:rsid w:val="00DF059B"/>
    <w:rsid w:val="00DF0D51"/>
    <w:rsid w:val="00DF11A4"/>
    <w:rsid w:val="00DF1224"/>
    <w:rsid w:val="00DF1459"/>
    <w:rsid w:val="00DF198B"/>
    <w:rsid w:val="00DF27D9"/>
    <w:rsid w:val="00DF2ED4"/>
    <w:rsid w:val="00DF2FE1"/>
    <w:rsid w:val="00DF374F"/>
    <w:rsid w:val="00DF451D"/>
    <w:rsid w:val="00DF4E8A"/>
    <w:rsid w:val="00DF6087"/>
    <w:rsid w:val="00DF6315"/>
    <w:rsid w:val="00DF6A9A"/>
    <w:rsid w:val="00DF7362"/>
    <w:rsid w:val="00DF7760"/>
    <w:rsid w:val="00DF7BBD"/>
    <w:rsid w:val="00DF7C68"/>
    <w:rsid w:val="00E01C94"/>
    <w:rsid w:val="00E02577"/>
    <w:rsid w:val="00E02D56"/>
    <w:rsid w:val="00E03E4A"/>
    <w:rsid w:val="00E04D9A"/>
    <w:rsid w:val="00E053B3"/>
    <w:rsid w:val="00E063E1"/>
    <w:rsid w:val="00E07CD8"/>
    <w:rsid w:val="00E104FE"/>
    <w:rsid w:val="00E10FEF"/>
    <w:rsid w:val="00E1262F"/>
    <w:rsid w:val="00E12E9A"/>
    <w:rsid w:val="00E13063"/>
    <w:rsid w:val="00E13E11"/>
    <w:rsid w:val="00E13E49"/>
    <w:rsid w:val="00E14B23"/>
    <w:rsid w:val="00E153F1"/>
    <w:rsid w:val="00E17080"/>
    <w:rsid w:val="00E17829"/>
    <w:rsid w:val="00E17F27"/>
    <w:rsid w:val="00E2005C"/>
    <w:rsid w:val="00E203A7"/>
    <w:rsid w:val="00E20512"/>
    <w:rsid w:val="00E20F37"/>
    <w:rsid w:val="00E21F2B"/>
    <w:rsid w:val="00E22BC2"/>
    <w:rsid w:val="00E23095"/>
    <w:rsid w:val="00E23459"/>
    <w:rsid w:val="00E23962"/>
    <w:rsid w:val="00E25BEA"/>
    <w:rsid w:val="00E263E6"/>
    <w:rsid w:val="00E276C4"/>
    <w:rsid w:val="00E277D6"/>
    <w:rsid w:val="00E27E03"/>
    <w:rsid w:val="00E30C41"/>
    <w:rsid w:val="00E31445"/>
    <w:rsid w:val="00E32ED3"/>
    <w:rsid w:val="00E33221"/>
    <w:rsid w:val="00E34D81"/>
    <w:rsid w:val="00E352A0"/>
    <w:rsid w:val="00E355D3"/>
    <w:rsid w:val="00E35FF0"/>
    <w:rsid w:val="00E3729F"/>
    <w:rsid w:val="00E40D7E"/>
    <w:rsid w:val="00E42CC9"/>
    <w:rsid w:val="00E433A7"/>
    <w:rsid w:val="00E4396F"/>
    <w:rsid w:val="00E43E01"/>
    <w:rsid w:val="00E43F30"/>
    <w:rsid w:val="00E4576E"/>
    <w:rsid w:val="00E5037E"/>
    <w:rsid w:val="00E5063A"/>
    <w:rsid w:val="00E50AB6"/>
    <w:rsid w:val="00E517D4"/>
    <w:rsid w:val="00E522FF"/>
    <w:rsid w:val="00E52CC6"/>
    <w:rsid w:val="00E537F7"/>
    <w:rsid w:val="00E54190"/>
    <w:rsid w:val="00E5558E"/>
    <w:rsid w:val="00E5604E"/>
    <w:rsid w:val="00E560FE"/>
    <w:rsid w:val="00E56842"/>
    <w:rsid w:val="00E56A2D"/>
    <w:rsid w:val="00E571F2"/>
    <w:rsid w:val="00E57EBF"/>
    <w:rsid w:val="00E603F2"/>
    <w:rsid w:val="00E60A22"/>
    <w:rsid w:val="00E6168A"/>
    <w:rsid w:val="00E62D71"/>
    <w:rsid w:val="00E63C28"/>
    <w:rsid w:val="00E647CA"/>
    <w:rsid w:val="00E64F71"/>
    <w:rsid w:val="00E6506D"/>
    <w:rsid w:val="00E67784"/>
    <w:rsid w:val="00E70664"/>
    <w:rsid w:val="00E70C0D"/>
    <w:rsid w:val="00E712BF"/>
    <w:rsid w:val="00E715D9"/>
    <w:rsid w:val="00E7193E"/>
    <w:rsid w:val="00E721F5"/>
    <w:rsid w:val="00E7269C"/>
    <w:rsid w:val="00E7290F"/>
    <w:rsid w:val="00E72D6D"/>
    <w:rsid w:val="00E7342A"/>
    <w:rsid w:val="00E73549"/>
    <w:rsid w:val="00E752E3"/>
    <w:rsid w:val="00E7676C"/>
    <w:rsid w:val="00E76862"/>
    <w:rsid w:val="00E76912"/>
    <w:rsid w:val="00E76CD1"/>
    <w:rsid w:val="00E80181"/>
    <w:rsid w:val="00E82DA8"/>
    <w:rsid w:val="00E83151"/>
    <w:rsid w:val="00E8352E"/>
    <w:rsid w:val="00E83727"/>
    <w:rsid w:val="00E83BEF"/>
    <w:rsid w:val="00E83CF5"/>
    <w:rsid w:val="00E84822"/>
    <w:rsid w:val="00E84AD2"/>
    <w:rsid w:val="00E853E2"/>
    <w:rsid w:val="00E853FE"/>
    <w:rsid w:val="00E85484"/>
    <w:rsid w:val="00E855BC"/>
    <w:rsid w:val="00E85C98"/>
    <w:rsid w:val="00E85F05"/>
    <w:rsid w:val="00E86572"/>
    <w:rsid w:val="00E904D7"/>
    <w:rsid w:val="00E91289"/>
    <w:rsid w:val="00E91810"/>
    <w:rsid w:val="00E93951"/>
    <w:rsid w:val="00E94891"/>
    <w:rsid w:val="00E94AF4"/>
    <w:rsid w:val="00E94F4D"/>
    <w:rsid w:val="00E953DF"/>
    <w:rsid w:val="00E95E84"/>
    <w:rsid w:val="00E96730"/>
    <w:rsid w:val="00E96E30"/>
    <w:rsid w:val="00E96F61"/>
    <w:rsid w:val="00E974DB"/>
    <w:rsid w:val="00E97845"/>
    <w:rsid w:val="00E97EAD"/>
    <w:rsid w:val="00EA1EC6"/>
    <w:rsid w:val="00EA3D1E"/>
    <w:rsid w:val="00EA44A6"/>
    <w:rsid w:val="00EA5322"/>
    <w:rsid w:val="00EA6BCD"/>
    <w:rsid w:val="00EB0176"/>
    <w:rsid w:val="00EB1273"/>
    <w:rsid w:val="00EB16F2"/>
    <w:rsid w:val="00EB2FAE"/>
    <w:rsid w:val="00EB3103"/>
    <w:rsid w:val="00EB34B2"/>
    <w:rsid w:val="00EB374D"/>
    <w:rsid w:val="00EB4268"/>
    <w:rsid w:val="00EB4AF5"/>
    <w:rsid w:val="00EB5382"/>
    <w:rsid w:val="00EB5A07"/>
    <w:rsid w:val="00EB6528"/>
    <w:rsid w:val="00EB6B3E"/>
    <w:rsid w:val="00EC3596"/>
    <w:rsid w:val="00EC393A"/>
    <w:rsid w:val="00EC3B11"/>
    <w:rsid w:val="00EC3CAB"/>
    <w:rsid w:val="00EC4AEA"/>
    <w:rsid w:val="00EC4D79"/>
    <w:rsid w:val="00EC4F1E"/>
    <w:rsid w:val="00EC584A"/>
    <w:rsid w:val="00EC6516"/>
    <w:rsid w:val="00EC724A"/>
    <w:rsid w:val="00ED017C"/>
    <w:rsid w:val="00ED0C77"/>
    <w:rsid w:val="00ED0F99"/>
    <w:rsid w:val="00ED1BDD"/>
    <w:rsid w:val="00ED2626"/>
    <w:rsid w:val="00ED2CF4"/>
    <w:rsid w:val="00ED3BBE"/>
    <w:rsid w:val="00ED414F"/>
    <w:rsid w:val="00ED41CE"/>
    <w:rsid w:val="00ED65DD"/>
    <w:rsid w:val="00EE02F5"/>
    <w:rsid w:val="00EE0CBF"/>
    <w:rsid w:val="00EE0FA1"/>
    <w:rsid w:val="00EE15EF"/>
    <w:rsid w:val="00EE178A"/>
    <w:rsid w:val="00EE1CE1"/>
    <w:rsid w:val="00EE251D"/>
    <w:rsid w:val="00EE255A"/>
    <w:rsid w:val="00EE3CCF"/>
    <w:rsid w:val="00EE3D95"/>
    <w:rsid w:val="00EE3E04"/>
    <w:rsid w:val="00EE4184"/>
    <w:rsid w:val="00EE42BD"/>
    <w:rsid w:val="00EE50BE"/>
    <w:rsid w:val="00EE6056"/>
    <w:rsid w:val="00EE640E"/>
    <w:rsid w:val="00EE644C"/>
    <w:rsid w:val="00EE754B"/>
    <w:rsid w:val="00EE7D33"/>
    <w:rsid w:val="00EF0C63"/>
    <w:rsid w:val="00EF191B"/>
    <w:rsid w:val="00EF1A35"/>
    <w:rsid w:val="00EF37BD"/>
    <w:rsid w:val="00EF39AA"/>
    <w:rsid w:val="00EF5286"/>
    <w:rsid w:val="00EF5B68"/>
    <w:rsid w:val="00EF629E"/>
    <w:rsid w:val="00EF6B11"/>
    <w:rsid w:val="00EF71C7"/>
    <w:rsid w:val="00EF741C"/>
    <w:rsid w:val="00F006C3"/>
    <w:rsid w:val="00F007B6"/>
    <w:rsid w:val="00F0111F"/>
    <w:rsid w:val="00F0192B"/>
    <w:rsid w:val="00F021AB"/>
    <w:rsid w:val="00F03037"/>
    <w:rsid w:val="00F03259"/>
    <w:rsid w:val="00F048C1"/>
    <w:rsid w:val="00F058CE"/>
    <w:rsid w:val="00F05A01"/>
    <w:rsid w:val="00F05F05"/>
    <w:rsid w:val="00F066EB"/>
    <w:rsid w:val="00F076CB"/>
    <w:rsid w:val="00F07984"/>
    <w:rsid w:val="00F10716"/>
    <w:rsid w:val="00F11960"/>
    <w:rsid w:val="00F133D8"/>
    <w:rsid w:val="00F137DB"/>
    <w:rsid w:val="00F13FCC"/>
    <w:rsid w:val="00F1419A"/>
    <w:rsid w:val="00F143F5"/>
    <w:rsid w:val="00F15609"/>
    <w:rsid w:val="00F15853"/>
    <w:rsid w:val="00F15BC3"/>
    <w:rsid w:val="00F16147"/>
    <w:rsid w:val="00F164BE"/>
    <w:rsid w:val="00F16CAF"/>
    <w:rsid w:val="00F175F1"/>
    <w:rsid w:val="00F1785E"/>
    <w:rsid w:val="00F17E3D"/>
    <w:rsid w:val="00F20E4A"/>
    <w:rsid w:val="00F2217C"/>
    <w:rsid w:val="00F23A1F"/>
    <w:rsid w:val="00F240AE"/>
    <w:rsid w:val="00F240C7"/>
    <w:rsid w:val="00F2495D"/>
    <w:rsid w:val="00F24B6A"/>
    <w:rsid w:val="00F26A4F"/>
    <w:rsid w:val="00F26D12"/>
    <w:rsid w:val="00F30668"/>
    <w:rsid w:val="00F30C85"/>
    <w:rsid w:val="00F313B0"/>
    <w:rsid w:val="00F317C4"/>
    <w:rsid w:val="00F320B5"/>
    <w:rsid w:val="00F323CE"/>
    <w:rsid w:val="00F3299A"/>
    <w:rsid w:val="00F32D83"/>
    <w:rsid w:val="00F33DDF"/>
    <w:rsid w:val="00F33EE1"/>
    <w:rsid w:val="00F346ED"/>
    <w:rsid w:val="00F34DE8"/>
    <w:rsid w:val="00F36639"/>
    <w:rsid w:val="00F36B73"/>
    <w:rsid w:val="00F377F0"/>
    <w:rsid w:val="00F37800"/>
    <w:rsid w:val="00F37A6E"/>
    <w:rsid w:val="00F4074C"/>
    <w:rsid w:val="00F408C7"/>
    <w:rsid w:val="00F40A11"/>
    <w:rsid w:val="00F42ACF"/>
    <w:rsid w:val="00F430C9"/>
    <w:rsid w:val="00F438A1"/>
    <w:rsid w:val="00F440BE"/>
    <w:rsid w:val="00F462E4"/>
    <w:rsid w:val="00F46C64"/>
    <w:rsid w:val="00F46CBE"/>
    <w:rsid w:val="00F5179E"/>
    <w:rsid w:val="00F52405"/>
    <w:rsid w:val="00F52A1B"/>
    <w:rsid w:val="00F539D9"/>
    <w:rsid w:val="00F54A73"/>
    <w:rsid w:val="00F55A5A"/>
    <w:rsid w:val="00F55B40"/>
    <w:rsid w:val="00F55B8B"/>
    <w:rsid w:val="00F56593"/>
    <w:rsid w:val="00F56C34"/>
    <w:rsid w:val="00F61821"/>
    <w:rsid w:val="00F61D58"/>
    <w:rsid w:val="00F61FEC"/>
    <w:rsid w:val="00F62168"/>
    <w:rsid w:val="00F627D4"/>
    <w:rsid w:val="00F62956"/>
    <w:rsid w:val="00F62EF7"/>
    <w:rsid w:val="00F649FB"/>
    <w:rsid w:val="00F64B5E"/>
    <w:rsid w:val="00F65F89"/>
    <w:rsid w:val="00F6748A"/>
    <w:rsid w:val="00F67E90"/>
    <w:rsid w:val="00F70330"/>
    <w:rsid w:val="00F7131B"/>
    <w:rsid w:val="00F7155D"/>
    <w:rsid w:val="00F725AD"/>
    <w:rsid w:val="00F73DD2"/>
    <w:rsid w:val="00F7450E"/>
    <w:rsid w:val="00F74FAC"/>
    <w:rsid w:val="00F76054"/>
    <w:rsid w:val="00F76739"/>
    <w:rsid w:val="00F7767F"/>
    <w:rsid w:val="00F7778E"/>
    <w:rsid w:val="00F8034B"/>
    <w:rsid w:val="00F82A9E"/>
    <w:rsid w:val="00F82DA1"/>
    <w:rsid w:val="00F83018"/>
    <w:rsid w:val="00F8443C"/>
    <w:rsid w:val="00F84C0C"/>
    <w:rsid w:val="00F8582D"/>
    <w:rsid w:val="00F86D23"/>
    <w:rsid w:val="00F873ED"/>
    <w:rsid w:val="00F87915"/>
    <w:rsid w:val="00F87D38"/>
    <w:rsid w:val="00F90584"/>
    <w:rsid w:val="00F90765"/>
    <w:rsid w:val="00F91114"/>
    <w:rsid w:val="00F91371"/>
    <w:rsid w:val="00F91969"/>
    <w:rsid w:val="00F9373D"/>
    <w:rsid w:val="00F937E6"/>
    <w:rsid w:val="00F943F3"/>
    <w:rsid w:val="00F94822"/>
    <w:rsid w:val="00F969AD"/>
    <w:rsid w:val="00F96B3C"/>
    <w:rsid w:val="00FA0276"/>
    <w:rsid w:val="00FA06AE"/>
    <w:rsid w:val="00FA1499"/>
    <w:rsid w:val="00FA22D8"/>
    <w:rsid w:val="00FA27EC"/>
    <w:rsid w:val="00FA391B"/>
    <w:rsid w:val="00FA3E4F"/>
    <w:rsid w:val="00FA62A9"/>
    <w:rsid w:val="00FA64AF"/>
    <w:rsid w:val="00FA6BF8"/>
    <w:rsid w:val="00FA740E"/>
    <w:rsid w:val="00FB14F7"/>
    <w:rsid w:val="00FB1E25"/>
    <w:rsid w:val="00FB25D2"/>
    <w:rsid w:val="00FB392D"/>
    <w:rsid w:val="00FB4C25"/>
    <w:rsid w:val="00FB4DCF"/>
    <w:rsid w:val="00FB67C6"/>
    <w:rsid w:val="00FB6FF1"/>
    <w:rsid w:val="00FB778B"/>
    <w:rsid w:val="00FB77B2"/>
    <w:rsid w:val="00FB7C03"/>
    <w:rsid w:val="00FC02E1"/>
    <w:rsid w:val="00FC07C4"/>
    <w:rsid w:val="00FC0B40"/>
    <w:rsid w:val="00FC0CA4"/>
    <w:rsid w:val="00FC1F37"/>
    <w:rsid w:val="00FC2575"/>
    <w:rsid w:val="00FC2A2B"/>
    <w:rsid w:val="00FC3777"/>
    <w:rsid w:val="00FC3ACB"/>
    <w:rsid w:val="00FC3B1F"/>
    <w:rsid w:val="00FC4266"/>
    <w:rsid w:val="00FC4B25"/>
    <w:rsid w:val="00FC7248"/>
    <w:rsid w:val="00FC7D32"/>
    <w:rsid w:val="00FD0BA9"/>
    <w:rsid w:val="00FD0D6B"/>
    <w:rsid w:val="00FD11A7"/>
    <w:rsid w:val="00FD1F19"/>
    <w:rsid w:val="00FD28DB"/>
    <w:rsid w:val="00FD4214"/>
    <w:rsid w:val="00FD424E"/>
    <w:rsid w:val="00FD4313"/>
    <w:rsid w:val="00FD45FB"/>
    <w:rsid w:val="00FD52EC"/>
    <w:rsid w:val="00FD6184"/>
    <w:rsid w:val="00FD67D1"/>
    <w:rsid w:val="00FD6E9C"/>
    <w:rsid w:val="00FD73EE"/>
    <w:rsid w:val="00FE0FF7"/>
    <w:rsid w:val="00FE194D"/>
    <w:rsid w:val="00FE1A07"/>
    <w:rsid w:val="00FE1A30"/>
    <w:rsid w:val="00FE1AE1"/>
    <w:rsid w:val="00FE1F8B"/>
    <w:rsid w:val="00FE214C"/>
    <w:rsid w:val="00FE237D"/>
    <w:rsid w:val="00FE499A"/>
    <w:rsid w:val="00FE502C"/>
    <w:rsid w:val="00FE547F"/>
    <w:rsid w:val="00FE57C8"/>
    <w:rsid w:val="00FE5B5F"/>
    <w:rsid w:val="00FE6827"/>
    <w:rsid w:val="00FE7988"/>
    <w:rsid w:val="00FE7E89"/>
    <w:rsid w:val="00FF091C"/>
    <w:rsid w:val="00FF18D5"/>
    <w:rsid w:val="00FF2C5A"/>
    <w:rsid w:val="00FF31D0"/>
    <w:rsid w:val="00FF3491"/>
    <w:rsid w:val="00FF499A"/>
    <w:rsid w:val="00FF4FDD"/>
    <w:rsid w:val="00FF51DB"/>
    <w:rsid w:val="00FF6517"/>
    <w:rsid w:val="35F9304A"/>
    <w:rsid w:val="4E6F0DB3"/>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98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61CA1"/>
    <w:pPr>
      <w:spacing w:after="160" w:line="259" w:lineRule="auto"/>
    </w:pPr>
    <w:rPr>
      <w:sz w:val="22"/>
      <w:szCs w:val="22"/>
      <w:lang w:val="en-US" w:eastAsia="en-US"/>
    </w:rPr>
  </w:style>
  <w:style w:type="paragraph" w:styleId="10">
    <w:name w:val="heading 1"/>
    <w:basedOn w:val="a0"/>
    <w:next w:val="a0"/>
    <w:link w:val="1Char"/>
    <w:uiPriority w:val="9"/>
    <w:qFormat/>
    <w:pPr>
      <w:keepNext/>
      <w:keepLines/>
      <w:numPr>
        <w:numId w:val="1"/>
      </w:numPr>
      <w:spacing w:before="240" w:after="0"/>
      <w:outlineLvl w:val="0"/>
    </w:pPr>
    <w:rPr>
      <w:rFonts w:asciiTheme="majorHAnsi" w:eastAsiaTheme="majorEastAsia" w:hAnsiTheme="majorHAnsi" w:cstheme="majorBidi"/>
      <w:color w:val="1481AB" w:themeColor="accent1" w:themeShade="BF"/>
      <w:sz w:val="32"/>
      <w:szCs w:val="32"/>
    </w:rPr>
  </w:style>
  <w:style w:type="paragraph" w:styleId="2">
    <w:name w:val="heading 2"/>
    <w:basedOn w:val="a0"/>
    <w:next w:val="a0"/>
    <w:link w:val="2Char"/>
    <w:uiPriority w:val="9"/>
    <w:unhideWhenUsed/>
    <w:qFormat/>
    <w:pPr>
      <w:keepNext/>
      <w:keepLines/>
      <w:numPr>
        <w:ilvl w:val="1"/>
        <w:numId w:val="1"/>
      </w:numPr>
      <w:spacing w:before="40" w:after="0"/>
      <w:ind w:right="-144"/>
      <w:jc w:val="both"/>
      <w:outlineLvl w:val="1"/>
    </w:pPr>
    <w:rPr>
      <w:rFonts w:asciiTheme="majorHAnsi" w:eastAsiaTheme="majorEastAsia" w:hAnsiTheme="majorHAnsi" w:cstheme="majorBidi"/>
      <w:b/>
      <w:bCs/>
      <w:color w:val="000000" w:themeColor="text1"/>
      <w:sz w:val="28"/>
      <w:szCs w:val="28"/>
      <w:lang w:val="el-GR"/>
    </w:rPr>
  </w:style>
  <w:style w:type="paragraph" w:styleId="3">
    <w:name w:val="heading 3"/>
    <w:basedOn w:val="a0"/>
    <w:next w:val="a0"/>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0D5672" w:themeColor="accent1" w:themeShade="80"/>
      <w:sz w:val="24"/>
      <w:szCs w:val="24"/>
    </w:rPr>
  </w:style>
  <w:style w:type="paragraph" w:styleId="4">
    <w:name w:val="heading 4"/>
    <w:basedOn w:val="a0"/>
    <w:next w:val="a0"/>
    <w:link w:val="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1481AB" w:themeColor="accent1" w:themeShade="BF"/>
    </w:rPr>
  </w:style>
  <w:style w:type="paragraph" w:styleId="5">
    <w:name w:val="heading 5"/>
    <w:basedOn w:val="a0"/>
    <w:next w:val="a0"/>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1481AB" w:themeColor="accent1" w:themeShade="BF"/>
    </w:rPr>
  </w:style>
  <w:style w:type="paragraph" w:styleId="6">
    <w:name w:val="heading 6"/>
    <w:basedOn w:val="a0"/>
    <w:next w:val="a0"/>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0D5672" w:themeColor="accent1" w:themeShade="80"/>
    </w:rPr>
  </w:style>
  <w:style w:type="paragraph" w:styleId="7">
    <w:name w:val="heading 7"/>
    <w:basedOn w:val="a0"/>
    <w:next w:val="a0"/>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0D5672" w:themeColor="accent1" w:themeShade="80"/>
    </w:rPr>
  </w:style>
  <w:style w:type="paragraph" w:styleId="8">
    <w:name w:val="heading 8"/>
    <w:basedOn w:val="a0"/>
    <w:next w:val="a0"/>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pPr>
      <w:spacing w:after="0" w:line="240" w:lineRule="auto"/>
    </w:pPr>
    <w:rPr>
      <w:rFonts w:ascii="Segoe UI" w:hAnsi="Segoe UI" w:cs="Segoe UI"/>
      <w:sz w:val="18"/>
      <w:szCs w:val="18"/>
    </w:rPr>
  </w:style>
  <w:style w:type="paragraph" w:styleId="a5">
    <w:name w:val="caption"/>
    <w:basedOn w:val="a0"/>
    <w:next w:val="a0"/>
    <w:uiPriority w:val="35"/>
    <w:unhideWhenUsed/>
    <w:qFormat/>
    <w:pPr>
      <w:spacing w:after="200" w:line="240" w:lineRule="auto"/>
    </w:pPr>
    <w:rPr>
      <w:i/>
      <w:iCs/>
      <w:color w:val="335B74" w:themeColor="text2"/>
      <w:sz w:val="18"/>
      <w:szCs w:val="18"/>
    </w:rPr>
  </w:style>
  <w:style w:type="character" w:styleId="a6">
    <w:name w:val="annotation reference"/>
    <w:basedOn w:val="a1"/>
    <w:uiPriority w:val="99"/>
    <w:semiHidden/>
    <w:unhideWhenUsed/>
    <w:rPr>
      <w:sz w:val="16"/>
      <w:szCs w:val="16"/>
    </w:rPr>
  </w:style>
  <w:style w:type="paragraph" w:styleId="a7">
    <w:name w:val="annotation text"/>
    <w:basedOn w:val="a0"/>
    <w:link w:val="Char0"/>
    <w:uiPriority w:val="99"/>
    <w:unhideWhenUsed/>
    <w:pPr>
      <w:spacing w:line="240" w:lineRule="auto"/>
    </w:pPr>
    <w:rPr>
      <w:sz w:val="20"/>
      <w:szCs w:val="20"/>
    </w:rPr>
  </w:style>
  <w:style w:type="paragraph" w:styleId="a8">
    <w:name w:val="annotation subject"/>
    <w:basedOn w:val="a7"/>
    <w:next w:val="a7"/>
    <w:link w:val="Char1"/>
    <w:uiPriority w:val="99"/>
    <w:semiHidden/>
    <w:unhideWhenUsed/>
    <w:rPr>
      <w:b/>
      <w:bCs/>
    </w:rPr>
  </w:style>
  <w:style w:type="character" w:styleId="-">
    <w:name w:val="FollowedHyperlink"/>
    <w:basedOn w:val="a1"/>
    <w:uiPriority w:val="99"/>
    <w:semiHidden/>
    <w:unhideWhenUsed/>
    <w:rPr>
      <w:color w:val="B26B02" w:themeColor="followedHyperlink"/>
      <w:u w:val="single"/>
    </w:rPr>
  </w:style>
  <w:style w:type="paragraph" w:styleId="a9">
    <w:name w:val="footer"/>
    <w:basedOn w:val="a0"/>
    <w:link w:val="Char2"/>
    <w:uiPriority w:val="99"/>
    <w:unhideWhenUsed/>
    <w:qFormat/>
    <w:pPr>
      <w:tabs>
        <w:tab w:val="center" w:pos="4680"/>
        <w:tab w:val="right" w:pos="9360"/>
      </w:tabs>
      <w:spacing w:after="0" w:line="240" w:lineRule="auto"/>
    </w:pPr>
  </w:style>
  <w:style w:type="character" w:styleId="aa">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1"/>
    <w:link w:val="4GCharCharChar"/>
    <w:uiPriority w:val="99"/>
    <w:unhideWhenUsed/>
    <w:qFormat/>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0"/>
    <w:link w:val="aa"/>
    <w:uiPriority w:val="99"/>
    <w:pPr>
      <w:spacing w:after="0" w:line="240" w:lineRule="exact"/>
      <w:jc w:val="both"/>
    </w:pPr>
    <w:rPr>
      <w:vertAlign w:val="superscript"/>
    </w:rPr>
  </w:style>
  <w:style w:type="paragraph" w:styleId="ab">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a0"/>
    <w:link w:val="Char3"/>
    <w:uiPriority w:val="99"/>
    <w:unhideWhenUsed/>
    <w:qFormat/>
    <w:pPr>
      <w:spacing w:after="0" w:line="240" w:lineRule="auto"/>
    </w:pPr>
    <w:rPr>
      <w:sz w:val="20"/>
      <w:szCs w:val="20"/>
    </w:rPr>
  </w:style>
  <w:style w:type="paragraph" w:styleId="ac">
    <w:name w:val="header"/>
    <w:basedOn w:val="a0"/>
    <w:link w:val="Char4"/>
    <w:uiPriority w:val="99"/>
    <w:unhideWhenUsed/>
    <w:pPr>
      <w:tabs>
        <w:tab w:val="center" w:pos="4680"/>
        <w:tab w:val="right" w:pos="9360"/>
      </w:tabs>
      <w:spacing w:after="0" w:line="240" w:lineRule="auto"/>
    </w:pPr>
  </w:style>
  <w:style w:type="paragraph" w:styleId="-HTML">
    <w:name w:val="HTML Preformatted"/>
    <w:basedOn w:val="a0"/>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styleId="-0">
    <w:name w:val="Hyperlink"/>
    <w:basedOn w:val="a1"/>
    <w:uiPriority w:val="99"/>
    <w:unhideWhenUsed/>
    <w:rPr>
      <w:color w:val="6EAC1C" w:themeColor="hyperlink"/>
      <w:u w:val="single"/>
    </w:rPr>
  </w:style>
  <w:style w:type="paragraph" w:styleId="Web">
    <w:name w:val="Normal (Web)"/>
    <w:basedOn w:val="a0"/>
    <w:uiPriority w:val="99"/>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uiPriority w:val="22"/>
    <w:qFormat/>
    <w:rPr>
      <w:b/>
      <w:bCs/>
    </w:rPr>
  </w:style>
  <w:style w:type="paragraph" w:styleId="ae">
    <w:name w:val="Subtitle"/>
    <w:basedOn w:val="a0"/>
    <w:next w:val="a0"/>
    <w:link w:val="Char5"/>
    <w:qFormat/>
    <w:pPr>
      <w:spacing w:line="276" w:lineRule="auto"/>
      <w:jc w:val="both"/>
    </w:pPr>
    <w:rPr>
      <w:rFonts w:eastAsiaTheme="minorEastAsia"/>
      <w:color w:val="595959" w:themeColor="text1" w:themeTint="A6"/>
      <w:spacing w:val="15"/>
      <w:lang w:val="el-GR" w:eastAsia="el-GR"/>
    </w:rPr>
  </w:style>
  <w:style w:type="table" w:styleId="af">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able of figures"/>
    <w:basedOn w:val="a0"/>
    <w:next w:val="a0"/>
    <w:uiPriority w:val="99"/>
    <w:unhideWhenUsed/>
    <w:pPr>
      <w:spacing w:after="0"/>
    </w:pPr>
  </w:style>
  <w:style w:type="paragraph" w:styleId="af1">
    <w:name w:val="Title"/>
    <w:basedOn w:val="a0"/>
    <w:next w:val="a0"/>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11">
    <w:name w:val="toc 1"/>
    <w:basedOn w:val="a0"/>
    <w:next w:val="a0"/>
    <w:uiPriority w:val="39"/>
    <w:unhideWhenUsed/>
    <w:pPr>
      <w:tabs>
        <w:tab w:val="left" w:pos="440"/>
        <w:tab w:val="right" w:leader="dot" w:pos="9203"/>
      </w:tabs>
      <w:spacing w:after="100"/>
      <w:ind w:left="426" w:hanging="426"/>
    </w:pPr>
  </w:style>
  <w:style w:type="paragraph" w:styleId="20">
    <w:name w:val="toc 2"/>
    <w:basedOn w:val="a0"/>
    <w:next w:val="a0"/>
    <w:uiPriority w:val="39"/>
    <w:unhideWhenUsed/>
    <w:pPr>
      <w:spacing w:after="100"/>
      <w:ind w:left="220"/>
    </w:pPr>
  </w:style>
  <w:style w:type="paragraph" w:styleId="30">
    <w:name w:val="toc 3"/>
    <w:basedOn w:val="a0"/>
    <w:next w:val="a0"/>
    <w:uiPriority w:val="39"/>
    <w:unhideWhenUsed/>
    <w:pPr>
      <w:spacing w:after="100"/>
      <w:ind w:left="440"/>
    </w:pPr>
    <w:rPr>
      <w:rFonts w:eastAsiaTheme="minorEastAsia" w:cs="Times New Roman"/>
      <w:lang w:val="el-GR" w:eastAsia="el-GR"/>
    </w:rPr>
  </w:style>
  <w:style w:type="character" w:customStyle="1" w:styleId="Char4">
    <w:name w:val="Κεφαλίδα Char"/>
    <w:basedOn w:val="a1"/>
    <w:link w:val="ac"/>
    <w:uiPriority w:val="99"/>
    <w:qFormat/>
  </w:style>
  <w:style w:type="character" w:customStyle="1" w:styleId="Char2">
    <w:name w:val="Υποσέλιδο Char"/>
    <w:basedOn w:val="a1"/>
    <w:link w:val="a9"/>
    <w:uiPriority w:val="99"/>
    <w:qFormat/>
  </w:style>
  <w:style w:type="character" w:customStyle="1" w:styleId="Char6">
    <w:name w:val="Τίτλος Char"/>
    <w:basedOn w:val="a1"/>
    <w:link w:val="af1"/>
    <w:uiPriority w:val="10"/>
    <w:rPr>
      <w:rFonts w:asciiTheme="majorHAnsi" w:eastAsiaTheme="majorEastAsia" w:hAnsiTheme="majorHAnsi" w:cstheme="majorBidi"/>
      <w:spacing w:val="-10"/>
      <w:kern w:val="28"/>
      <w:sz w:val="56"/>
      <w:szCs w:val="56"/>
    </w:rPr>
  </w:style>
  <w:style w:type="character" w:customStyle="1" w:styleId="1Char">
    <w:name w:val="Επικεφαλίδα 1 Char"/>
    <w:basedOn w:val="a1"/>
    <w:link w:val="10"/>
    <w:uiPriority w:val="9"/>
    <w:rPr>
      <w:rFonts w:asciiTheme="majorHAnsi" w:eastAsiaTheme="majorEastAsia" w:hAnsiTheme="majorHAnsi" w:cstheme="majorBidi"/>
      <w:color w:val="1481AB" w:themeColor="accent1" w:themeShade="BF"/>
      <w:sz w:val="32"/>
      <w:szCs w:val="32"/>
    </w:rPr>
  </w:style>
  <w:style w:type="character" w:customStyle="1" w:styleId="2Char">
    <w:name w:val="Επικεφαλίδα 2 Char"/>
    <w:basedOn w:val="a1"/>
    <w:link w:val="2"/>
    <w:uiPriority w:val="9"/>
    <w:rPr>
      <w:rFonts w:asciiTheme="majorHAnsi" w:eastAsiaTheme="majorEastAsia" w:hAnsiTheme="majorHAnsi" w:cstheme="majorBidi"/>
      <w:b/>
      <w:bCs/>
      <w:color w:val="000000" w:themeColor="text1"/>
      <w:sz w:val="28"/>
      <w:szCs w:val="28"/>
      <w:lang w:val="el-GR"/>
    </w:rPr>
  </w:style>
  <w:style w:type="character" w:customStyle="1" w:styleId="3Char">
    <w:name w:val="Επικεφαλίδα 3 Char"/>
    <w:basedOn w:val="a1"/>
    <w:link w:val="3"/>
    <w:uiPriority w:val="9"/>
    <w:rPr>
      <w:rFonts w:asciiTheme="majorHAnsi" w:eastAsiaTheme="majorEastAsia" w:hAnsiTheme="majorHAnsi" w:cstheme="majorBidi"/>
      <w:color w:val="0D5672" w:themeColor="accent1" w:themeShade="80"/>
      <w:sz w:val="24"/>
      <w:szCs w:val="24"/>
    </w:rPr>
  </w:style>
  <w:style w:type="character" w:customStyle="1" w:styleId="4Char">
    <w:name w:val="Επικεφαλίδα 4 Char"/>
    <w:basedOn w:val="a1"/>
    <w:link w:val="4"/>
    <w:uiPriority w:val="9"/>
    <w:semiHidden/>
    <w:rPr>
      <w:rFonts w:asciiTheme="majorHAnsi" w:eastAsiaTheme="majorEastAsia" w:hAnsiTheme="majorHAnsi" w:cstheme="majorBidi"/>
      <w:i/>
      <w:iCs/>
      <w:color w:val="1481AB" w:themeColor="accent1" w:themeShade="BF"/>
    </w:rPr>
  </w:style>
  <w:style w:type="character" w:customStyle="1" w:styleId="5Char">
    <w:name w:val="Επικεφαλίδα 5 Char"/>
    <w:basedOn w:val="a1"/>
    <w:link w:val="5"/>
    <w:uiPriority w:val="9"/>
    <w:semiHidden/>
    <w:rPr>
      <w:rFonts w:asciiTheme="majorHAnsi" w:eastAsiaTheme="majorEastAsia" w:hAnsiTheme="majorHAnsi" w:cstheme="majorBidi"/>
      <w:color w:val="1481AB" w:themeColor="accent1" w:themeShade="BF"/>
    </w:rPr>
  </w:style>
  <w:style w:type="character" w:customStyle="1" w:styleId="6Char">
    <w:name w:val="Επικεφαλίδα 6 Char"/>
    <w:basedOn w:val="a1"/>
    <w:link w:val="6"/>
    <w:uiPriority w:val="9"/>
    <w:semiHidden/>
    <w:rPr>
      <w:rFonts w:asciiTheme="majorHAnsi" w:eastAsiaTheme="majorEastAsia" w:hAnsiTheme="majorHAnsi" w:cstheme="majorBidi"/>
      <w:color w:val="0D5672" w:themeColor="accent1" w:themeShade="80"/>
    </w:rPr>
  </w:style>
  <w:style w:type="character" w:customStyle="1" w:styleId="7Char">
    <w:name w:val="Επικεφαλίδα 7 Char"/>
    <w:basedOn w:val="a1"/>
    <w:link w:val="7"/>
    <w:uiPriority w:val="9"/>
    <w:semiHidden/>
    <w:rPr>
      <w:rFonts w:asciiTheme="majorHAnsi" w:eastAsiaTheme="majorEastAsia" w:hAnsiTheme="majorHAnsi" w:cstheme="majorBidi"/>
      <w:i/>
      <w:iCs/>
      <w:color w:val="0D5672" w:themeColor="accent1" w:themeShade="80"/>
    </w:rPr>
  </w:style>
  <w:style w:type="character" w:customStyle="1" w:styleId="8Char">
    <w:name w:val="Επικεφαλίδα 8 Char"/>
    <w:basedOn w:val="a1"/>
    <w:link w:val="8"/>
    <w:uiPriority w:val="9"/>
    <w:semiHidden/>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1"/>
    <w:link w:val="9"/>
    <w:uiPriority w:val="9"/>
    <w:semiHidden/>
    <w:rPr>
      <w:rFonts w:asciiTheme="majorHAnsi" w:eastAsiaTheme="majorEastAsia" w:hAnsiTheme="majorHAnsi" w:cstheme="majorBidi"/>
      <w:i/>
      <w:iCs/>
      <w:color w:val="262626" w:themeColor="text1" w:themeTint="D9"/>
      <w:sz w:val="21"/>
      <w:szCs w:val="21"/>
    </w:rPr>
  </w:style>
  <w:style w:type="character" w:styleId="af2">
    <w:name w:val="Placeholder Text"/>
    <w:basedOn w:val="a1"/>
    <w:uiPriority w:val="99"/>
    <w:semiHidden/>
    <w:rPr>
      <w:color w:val="808080"/>
    </w:rPr>
  </w:style>
  <w:style w:type="character" w:customStyle="1" w:styleId="Char3">
    <w:name w:val="Κείμενο υποσημείωσης Char"/>
    <w:aliases w:val=" Char Char,Point 3 Char Char,Footnote text Char,ESPON Footnote Text Char,Schriftart: 9 pt Char,Schriftart: 10 pt Char,Schriftart: 8 pt Char,Κείμενο υποσημείωσης-KATERINA Char,Char Char Char Char,footnotes Char,5_G Char,fn Char"/>
    <w:basedOn w:val="a1"/>
    <w:link w:val="ab"/>
    <w:uiPriority w:val="99"/>
    <w:rPr>
      <w:sz w:val="20"/>
      <w:szCs w:val="20"/>
    </w:rPr>
  </w:style>
  <w:style w:type="character" w:customStyle="1" w:styleId="12">
    <w:name w:val="Ανεπίλυτη αναφορά1"/>
    <w:basedOn w:val="a1"/>
    <w:uiPriority w:val="99"/>
    <w:semiHidden/>
    <w:unhideWhenUsed/>
    <w:rPr>
      <w:color w:val="808080"/>
      <w:shd w:val="clear" w:color="auto" w:fill="E6E6E6"/>
    </w:rPr>
  </w:style>
  <w:style w:type="paragraph" w:styleId="af3">
    <w:name w:val="List Paragraph"/>
    <w:basedOn w:val="a0"/>
    <w:link w:val="Char7"/>
    <w:uiPriority w:val="34"/>
    <w:qFormat/>
    <w:pPr>
      <w:ind w:left="720"/>
      <w:contextualSpacing/>
    </w:pPr>
  </w:style>
  <w:style w:type="paragraph" w:customStyle="1" w:styleId="13">
    <w:name w:val="Επικεφαλίδα ΠΠ1"/>
    <w:basedOn w:val="10"/>
    <w:next w:val="a0"/>
    <w:uiPriority w:val="39"/>
    <w:unhideWhenUsed/>
    <w:qFormat/>
    <w:pPr>
      <w:outlineLvl w:val="9"/>
    </w:pPr>
  </w:style>
  <w:style w:type="paragraph" w:customStyle="1" w:styleId="Default">
    <w:name w:val="Default"/>
    <w:pPr>
      <w:autoSpaceDE w:val="0"/>
      <w:autoSpaceDN w:val="0"/>
      <w:adjustRightInd w:val="0"/>
    </w:pPr>
    <w:rPr>
      <w:rFonts w:ascii="Book Antiqua" w:hAnsi="Book Antiqua" w:cs="Book Antiqua"/>
      <w:color w:val="000000"/>
      <w:sz w:val="24"/>
      <w:szCs w:val="24"/>
      <w:lang w:eastAsia="en-US"/>
    </w:rPr>
  </w:style>
  <w:style w:type="character" w:customStyle="1" w:styleId="21">
    <w:name w:val="Ανεπίλυτη αναφορά2"/>
    <w:basedOn w:val="a1"/>
    <w:uiPriority w:val="99"/>
    <w:semiHidden/>
    <w:unhideWhenUsed/>
    <w:rPr>
      <w:color w:val="605E5C"/>
      <w:shd w:val="clear" w:color="auto" w:fill="E1DFDD"/>
    </w:rPr>
  </w:style>
  <w:style w:type="table" w:customStyle="1" w:styleId="2-51">
    <w:name w:val="Πίνακας 2 με πλέγμα - Έμφαση 51"/>
    <w:basedOn w:val="a2"/>
    <w:uiPriority w:val="47"/>
    <w:tblPr>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customStyle="1" w:styleId="1-21">
    <w:name w:val="Πίνακας 1 με ανοιχτόχρωμο πλέγμα - Έμφαση 21"/>
    <w:basedOn w:val="a2"/>
    <w:uiPriority w:val="46"/>
    <w:tblPr>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character" w:customStyle="1" w:styleId="Char">
    <w:name w:val="Κείμενο πλαισίου Char"/>
    <w:basedOn w:val="a1"/>
    <w:link w:val="a4"/>
    <w:uiPriority w:val="99"/>
    <w:semiHidden/>
    <w:rPr>
      <w:rFonts w:ascii="Segoe UI" w:hAnsi="Segoe UI" w:cs="Segoe UI"/>
      <w:sz w:val="18"/>
      <w:szCs w:val="18"/>
    </w:rPr>
  </w:style>
  <w:style w:type="table" w:customStyle="1" w:styleId="110">
    <w:name w:val="Απλός πίνακας 11"/>
    <w:basedOn w:val="a2"/>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2"/>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0">
    <w:name w:val="Κείμενο σχολίου Char"/>
    <w:basedOn w:val="a1"/>
    <w:link w:val="a7"/>
    <w:uiPriority w:val="99"/>
    <w:rPr>
      <w:sz w:val="20"/>
      <w:szCs w:val="20"/>
    </w:rPr>
  </w:style>
  <w:style w:type="character" w:customStyle="1" w:styleId="Char1">
    <w:name w:val="Θέμα σχολίου Char"/>
    <w:basedOn w:val="Char0"/>
    <w:link w:val="a8"/>
    <w:uiPriority w:val="99"/>
    <w:semiHidden/>
    <w:rPr>
      <w:b/>
      <w:bCs/>
      <w:sz w:val="20"/>
      <w:szCs w:val="20"/>
    </w:rPr>
  </w:style>
  <w:style w:type="table" w:customStyle="1" w:styleId="4-61">
    <w:name w:val="Πίνακας 4 με πλέγμα - Έμφαση 61"/>
    <w:basedOn w:val="a2"/>
    <w:uiPriority w:val="49"/>
    <w:tblPr>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character" w:customStyle="1" w:styleId="st">
    <w:name w:val="st"/>
    <w:basedOn w:val="a1"/>
  </w:style>
  <w:style w:type="table" w:customStyle="1" w:styleId="4-41">
    <w:name w:val="Πίνακας 4 με πλέγμα - Έμφαση 41"/>
    <w:basedOn w:val="a2"/>
    <w:uiPriority w:val="49"/>
    <w:tblPr>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5-21">
    <w:name w:val="Πίνακας 5 με σκούρο πλέγμα - Έμφαση 2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customStyle="1" w:styleId="1-31">
    <w:name w:val="Πίνακας 1 με ανοιχτόχρωμο πλέγμα - Έμφαση 31"/>
    <w:basedOn w:val="a2"/>
    <w:uiPriority w:val="46"/>
    <w:tblPr>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character" w:customStyle="1" w:styleId="-HTMLChar">
    <w:name w:val="Προ-διαμορφωμένο HTML Char"/>
    <w:basedOn w:val="a1"/>
    <w:link w:val="-HTML"/>
    <w:uiPriority w:val="99"/>
    <w:rPr>
      <w:rFonts w:ascii="Courier New" w:eastAsia="Times New Roman" w:hAnsi="Courier New" w:cs="Courier New"/>
      <w:sz w:val="20"/>
      <w:szCs w:val="20"/>
      <w:lang w:val="el-GR" w:eastAsia="el-GR"/>
    </w:rPr>
  </w:style>
  <w:style w:type="character" w:customStyle="1" w:styleId="smalltext">
    <w:name w:val="smalltext"/>
    <w:basedOn w:val="a1"/>
  </w:style>
  <w:style w:type="table" w:customStyle="1" w:styleId="111">
    <w:name w:val="Πίνακας 1 με ανοιχτόχρωμο πλέγμα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1"/>
    <w:uiPriority w:val="99"/>
    <w:semiHidden/>
    <w:unhideWhenUsed/>
    <w:rPr>
      <w:color w:val="605E5C"/>
      <w:shd w:val="clear" w:color="auto" w:fill="E1DFDD"/>
    </w:rPr>
  </w:style>
  <w:style w:type="character" w:customStyle="1" w:styleId="tlid-translation">
    <w:name w:val="tlid-translation"/>
    <w:basedOn w:val="a1"/>
  </w:style>
  <w:style w:type="table" w:customStyle="1" w:styleId="210">
    <w:name w:val="Απλός πίνακας 21"/>
    <w:basedOn w:val="a2"/>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4">
    <w:name w:val="Αναθεώρηση1"/>
    <w:hidden/>
    <w:uiPriority w:val="99"/>
    <w:semiHidden/>
    <w:rPr>
      <w:sz w:val="22"/>
      <w:szCs w:val="22"/>
      <w:lang w:val="en-US" w:eastAsia="en-US"/>
    </w:rPr>
  </w:style>
  <w:style w:type="character" w:customStyle="1" w:styleId="Char7">
    <w:name w:val="Παράγραφος λίστας Char"/>
    <w:basedOn w:val="a1"/>
    <w:link w:val="af3"/>
    <w:uiPriority w:val="34"/>
  </w:style>
  <w:style w:type="character" w:customStyle="1" w:styleId="Char5">
    <w:name w:val="Υπότιτλος Char"/>
    <w:basedOn w:val="a1"/>
    <w:link w:val="ae"/>
    <w:rPr>
      <w:rFonts w:eastAsiaTheme="minorEastAsia"/>
      <w:color w:val="595959" w:themeColor="text1" w:themeTint="A6"/>
      <w:spacing w:val="15"/>
      <w:lang w:val="el-GR" w:eastAsia="el-GR"/>
    </w:rPr>
  </w:style>
  <w:style w:type="paragraph" w:styleId="af4">
    <w:name w:val="No Spacing"/>
    <w:link w:val="Char8"/>
    <w:uiPriority w:val="1"/>
    <w:qFormat/>
    <w:rPr>
      <w:rFonts w:ascii="Times New Roman" w:eastAsia="Times New Roman" w:hAnsi="Times New Roman" w:cs="Times New Roman"/>
      <w:sz w:val="22"/>
      <w:szCs w:val="22"/>
      <w:lang w:val="fr-BE" w:eastAsia="en-US"/>
    </w:rPr>
  </w:style>
  <w:style w:type="character" w:customStyle="1" w:styleId="markedcontent">
    <w:name w:val="markedcontent"/>
    <w:basedOn w:val="a1"/>
  </w:style>
  <w:style w:type="character" w:customStyle="1" w:styleId="40">
    <w:name w:val="Ανεπίλυτη αναφορά4"/>
    <w:basedOn w:val="a1"/>
    <w:uiPriority w:val="99"/>
    <w:semiHidden/>
    <w:unhideWhenUsed/>
    <w:rPr>
      <w:color w:val="605E5C"/>
      <w:shd w:val="clear" w:color="auto" w:fill="E1DFDD"/>
    </w:rPr>
  </w:style>
  <w:style w:type="character" w:customStyle="1" w:styleId="50">
    <w:name w:val="Ανεπίλυτη αναφορά5"/>
    <w:basedOn w:val="a1"/>
    <w:uiPriority w:val="99"/>
    <w:semiHidden/>
    <w:unhideWhenUsed/>
    <w:rPr>
      <w:color w:val="605E5C"/>
      <w:shd w:val="clear" w:color="auto" w:fill="E1DFDD"/>
    </w:rPr>
  </w:style>
  <w:style w:type="character" w:customStyle="1" w:styleId="pg-2ff2">
    <w:name w:val="pg-2ff2"/>
    <w:basedOn w:val="a1"/>
    <w:rsid w:val="00FE499A"/>
  </w:style>
  <w:style w:type="character" w:customStyle="1" w:styleId="af5">
    <w:name w:val="_"/>
    <w:basedOn w:val="a1"/>
    <w:rsid w:val="00FE499A"/>
  </w:style>
  <w:style w:type="character" w:customStyle="1" w:styleId="pg-2ff3">
    <w:name w:val="pg-2ff3"/>
    <w:basedOn w:val="a1"/>
    <w:rsid w:val="00FE499A"/>
  </w:style>
  <w:style w:type="character" w:styleId="af6">
    <w:name w:val="Unresolved Mention"/>
    <w:basedOn w:val="a1"/>
    <w:uiPriority w:val="99"/>
    <w:semiHidden/>
    <w:unhideWhenUsed/>
    <w:rsid w:val="005F7E7A"/>
    <w:rPr>
      <w:color w:val="605E5C"/>
      <w:shd w:val="clear" w:color="auto" w:fill="E1DFDD"/>
    </w:rPr>
  </w:style>
  <w:style w:type="character" w:styleId="af7">
    <w:name w:val="page number"/>
    <w:basedOn w:val="a1"/>
    <w:uiPriority w:val="99"/>
    <w:semiHidden/>
    <w:unhideWhenUsed/>
    <w:rsid w:val="00D25661"/>
  </w:style>
  <w:style w:type="paragraph" w:customStyle="1" w:styleId="15">
    <w:name w:val="Βασικό1"/>
    <w:rsid w:val="00AF3479"/>
    <w:pPr>
      <w:spacing w:before="100" w:beforeAutospacing="1" w:after="100" w:afterAutospacing="1" w:line="256" w:lineRule="auto"/>
    </w:pPr>
    <w:rPr>
      <w:rFonts w:ascii="Aptos" w:eastAsia="Times New Roman" w:hAnsi="Aptos" w:cs="Times New Roman"/>
      <w:sz w:val="24"/>
      <w:szCs w:val="24"/>
    </w:rPr>
  </w:style>
  <w:style w:type="character" w:customStyle="1" w:styleId="hgkelc">
    <w:name w:val="hgkelc"/>
    <w:basedOn w:val="a1"/>
    <w:rsid w:val="00AF3479"/>
  </w:style>
  <w:style w:type="character" w:customStyle="1" w:styleId="hidden">
    <w:name w:val="hidden"/>
    <w:basedOn w:val="a1"/>
    <w:rsid w:val="00464451"/>
  </w:style>
  <w:style w:type="character" w:customStyle="1" w:styleId="y2iqfc">
    <w:name w:val="y2iqfc"/>
    <w:basedOn w:val="a1"/>
    <w:rsid w:val="003A55E1"/>
  </w:style>
  <w:style w:type="character" w:customStyle="1" w:styleId="Char8">
    <w:name w:val="Χωρίς διάστιχο Char"/>
    <w:basedOn w:val="a1"/>
    <w:link w:val="af4"/>
    <w:uiPriority w:val="1"/>
    <w:rsid w:val="00375C70"/>
    <w:rPr>
      <w:rFonts w:ascii="Times New Roman" w:eastAsia="Times New Roman" w:hAnsi="Times New Roman" w:cs="Times New Roman"/>
      <w:sz w:val="22"/>
      <w:szCs w:val="22"/>
      <w:lang w:val="fr-BE" w:eastAsia="en-US"/>
    </w:rPr>
  </w:style>
  <w:style w:type="numbering" w:customStyle="1" w:styleId="1">
    <w:name w:val="Στυλ1"/>
    <w:uiPriority w:val="99"/>
    <w:rsid w:val="003677F5"/>
    <w:pPr>
      <w:numPr>
        <w:numId w:val="20"/>
      </w:numPr>
    </w:pPr>
  </w:style>
  <w:style w:type="paragraph" w:styleId="a">
    <w:name w:val="List Bullet"/>
    <w:basedOn w:val="a0"/>
    <w:uiPriority w:val="99"/>
    <w:unhideWhenUsed/>
    <w:rsid w:val="00FE5B5F"/>
    <w:pPr>
      <w:numPr>
        <w:numId w:val="29"/>
      </w:numPr>
      <w:spacing w:after="200" w:line="276" w:lineRule="auto"/>
      <w:contextualSpacing/>
    </w:pPr>
    <w:rPr>
      <w:rFonts w:eastAsiaTheme="minorEastAsia"/>
    </w:rPr>
  </w:style>
  <w:style w:type="table" w:styleId="2-4">
    <w:name w:val="Medium Grid 2 Accent 4"/>
    <w:basedOn w:val="a2"/>
    <w:uiPriority w:val="68"/>
    <w:rsid w:val="00FE5B5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1-2">
    <w:name w:val="List Table 1 Light Accent 2"/>
    <w:basedOn w:val="a2"/>
    <w:uiPriority w:val="46"/>
    <w:rsid w:val="00FE5B5F"/>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4-4">
    <w:name w:val="List Table 4 Accent 4"/>
    <w:basedOn w:val="a2"/>
    <w:uiPriority w:val="49"/>
    <w:rsid w:val="00FE5B5F"/>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3-4">
    <w:name w:val="List Table 3 Accent 4"/>
    <w:basedOn w:val="a2"/>
    <w:uiPriority w:val="48"/>
    <w:rsid w:val="00FE5B5F"/>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1-20">
    <w:name w:val="Grid Table 1 Light Accent 2"/>
    <w:basedOn w:val="a2"/>
    <w:uiPriority w:val="46"/>
    <w:rsid w:val="00342280"/>
    <w:rPr>
      <w:kern w:val="2"/>
      <w:sz w:val="22"/>
      <w:szCs w:val="22"/>
      <w:lang w:val="de-DE" w:eastAsia="en-US"/>
      <w14:ligatures w14:val="standardContextual"/>
    </w:r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customStyle="1" w:styleId="16">
    <w:name w:val="Πλέγμα πίνακα1"/>
    <w:basedOn w:val="a2"/>
    <w:next w:val="af"/>
    <w:uiPriority w:val="39"/>
    <w:rsid w:val="00A63CF4"/>
    <w:rPr>
      <w:kern w:val="2"/>
      <w:sz w:val="22"/>
      <w:szCs w:val="22"/>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unhideWhenUsed/>
    <w:rsid w:val="00977213"/>
    <w:rPr>
      <w:sz w:val="22"/>
      <w:szCs w:val="22"/>
      <w:lang w:val="en-US" w:eastAsia="en-US"/>
    </w:rPr>
  </w:style>
  <w:style w:type="paragraph" w:styleId="af9">
    <w:name w:val="TOC Heading"/>
    <w:basedOn w:val="10"/>
    <w:next w:val="a0"/>
    <w:uiPriority w:val="39"/>
    <w:unhideWhenUsed/>
    <w:qFormat/>
    <w:rsid w:val="00C761A3"/>
    <w:pPr>
      <w:numPr>
        <w:numId w:val="0"/>
      </w:numPr>
      <w:outlineLvl w:val="9"/>
    </w:pPr>
    <w:rPr>
      <w:lang w:val="de-DE" w:eastAsia="de-DE"/>
    </w:rPr>
  </w:style>
  <w:style w:type="table" w:styleId="3-6">
    <w:name w:val="List Table 3 Accent 6"/>
    <w:basedOn w:val="a2"/>
    <w:uiPriority w:val="48"/>
    <w:rsid w:val="00080F8C"/>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54455">
      <w:bodyDiv w:val="1"/>
      <w:marLeft w:val="0"/>
      <w:marRight w:val="0"/>
      <w:marTop w:val="0"/>
      <w:marBottom w:val="0"/>
      <w:divBdr>
        <w:top w:val="none" w:sz="0" w:space="0" w:color="auto"/>
        <w:left w:val="none" w:sz="0" w:space="0" w:color="auto"/>
        <w:bottom w:val="none" w:sz="0" w:space="0" w:color="auto"/>
        <w:right w:val="none" w:sz="0" w:space="0" w:color="auto"/>
      </w:divBdr>
    </w:div>
    <w:div w:id="344328840">
      <w:bodyDiv w:val="1"/>
      <w:marLeft w:val="0"/>
      <w:marRight w:val="0"/>
      <w:marTop w:val="0"/>
      <w:marBottom w:val="0"/>
      <w:divBdr>
        <w:top w:val="none" w:sz="0" w:space="0" w:color="auto"/>
        <w:left w:val="none" w:sz="0" w:space="0" w:color="auto"/>
        <w:bottom w:val="none" w:sz="0" w:space="0" w:color="auto"/>
        <w:right w:val="none" w:sz="0" w:space="0" w:color="auto"/>
      </w:divBdr>
    </w:div>
    <w:div w:id="378632720">
      <w:bodyDiv w:val="1"/>
      <w:marLeft w:val="0"/>
      <w:marRight w:val="0"/>
      <w:marTop w:val="0"/>
      <w:marBottom w:val="0"/>
      <w:divBdr>
        <w:top w:val="none" w:sz="0" w:space="0" w:color="auto"/>
        <w:left w:val="none" w:sz="0" w:space="0" w:color="auto"/>
        <w:bottom w:val="none" w:sz="0" w:space="0" w:color="auto"/>
        <w:right w:val="none" w:sz="0" w:space="0" w:color="auto"/>
      </w:divBdr>
    </w:div>
    <w:div w:id="447550915">
      <w:bodyDiv w:val="1"/>
      <w:marLeft w:val="0"/>
      <w:marRight w:val="0"/>
      <w:marTop w:val="0"/>
      <w:marBottom w:val="0"/>
      <w:divBdr>
        <w:top w:val="none" w:sz="0" w:space="0" w:color="auto"/>
        <w:left w:val="none" w:sz="0" w:space="0" w:color="auto"/>
        <w:bottom w:val="none" w:sz="0" w:space="0" w:color="auto"/>
        <w:right w:val="none" w:sz="0" w:space="0" w:color="auto"/>
      </w:divBdr>
    </w:div>
    <w:div w:id="953514491">
      <w:bodyDiv w:val="1"/>
      <w:marLeft w:val="0"/>
      <w:marRight w:val="0"/>
      <w:marTop w:val="0"/>
      <w:marBottom w:val="0"/>
      <w:divBdr>
        <w:top w:val="none" w:sz="0" w:space="0" w:color="auto"/>
        <w:left w:val="none" w:sz="0" w:space="0" w:color="auto"/>
        <w:bottom w:val="none" w:sz="0" w:space="0" w:color="auto"/>
        <w:right w:val="none" w:sz="0" w:space="0" w:color="auto"/>
      </w:divBdr>
      <w:divsChild>
        <w:div w:id="1983920713">
          <w:marLeft w:val="0"/>
          <w:marRight w:val="0"/>
          <w:marTop w:val="0"/>
          <w:marBottom w:val="0"/>
          <w:divBdr>
            <w:top w:val="none" w:sz="0" w:space="0" w:color="auto"/>
            <w:left w:val="none" w:sz="0" w:space="0" w:color="auto"/>
            <w:bottom w:val="none" w:sz="0" w:space="0" w:color="auto"/>
            <w:right w:val="none" w:sz="0" w:space="0" w:color="auto"/>
          </w:divBdr>
        </w:div>
        <w:div w:id="428694692">
          <w:marLeft w:val="0"/>
          <w:marRight w:val="0"/>
          <w:marTop w:val="0"/>
          <w:marBottom w:val="0"/>
          <w:divBdr>
            <w:top w:val="none" w:sz="0" w:space="0" w:color="auto"/>
            <w:left w:val="none" w:sz="0" w:space="0" w:color="auto"/>
            <w:bottom w:val="none" w:sz="0" w:space="0" w:color="auto"/>
            <w:right w:val="none" w:sz="0" w:space="0" w:color="auto"/>
          </w:divBdr>
        </w:div>
        <w:div w:id="543710605">
          <w:marLeft w:val="0"/>
          <w:marRight w:val="0"/>
          <w:marTop w:val="0"/>
          <w:marBottom w:val="0"/>
          <w:divBdr>
            <w:top w:val="none" w:sz="0" w:space="0" w:color="auto"/>
            <w:left w:val="none" w:sz="0" w:space="0" w:color="auto"/>
            <w:bottom w:val="none" w:sz="0" w:space="0" w:color="auto"/>
            <w:right w:val="none" w:sz="0" w:space="0" w:color="auto"/>
          </w:divBdr>
        </w:div>
        <w:div w:id="116527034">
          <w:marLeft w:val="0"/>
          <w:marRight w:val="0"/>
          <w:marTop w:val="0"/>
          <w:marBottom w:val="0"/>
          <w:divBdr>
            <w:top w:val="none" w:sz="0" w:space="0" w:color="auto"/>
            <w:left w:val="none" w:sz="0" w:space="0" w:color="auto"/>
            <w:bottom w:val="none" w:sz="0" w:space="0" w:color="auto"/>
            <w:right w:val="none" w:sz="0" w:space="0" w:color="auto"/>
          </w:divBdr>
        </w:div>
        <w:div w:id="1364592477">
          <w:marLeft w:val="0"/>
          <w:marRight w:val="0"/>
          <w:marTop w:val="0"/>
          <w:marBottom w:val="0"/>
          <w:divBdr>
            <w:top w:val="none" w:sz="0" w:space="0" w:color="auto"/>
            <w:left w:val="none" w:sz="0" w:space="0" w:color="auto"/>
            <w:bottom w:val="none" w:sz="0" w:space="0" w:color="auto"/>
            <w:right w:val="none" w:sz="0" w:space="0" w:color="auto"/>
          </w:divBdr>
        </w:div>
        <w:div w:id="65225154">
          <w:marLeft w:val="0"/>
          <w:marRight w:val="0"/>
          <w:marTop w:val="0"/>
          <w:marBottom w:val="0"/>
          <w:divBdr>
            <w:top w:val="none" w:sz="0" w:space="0" w:color="auto"/>
            <w:left w:val="none" w:sz="0" w:space="0" w:color="auto"/>
            <w:bottom w:val="none" w:sz="0" w:space="0" w:color="auto"/>
            <w:right w:val="none" w:sz="0" w:space="0" w:color="auto"/>
          </w:divBdr>
        </w:div>
        <w:div w:id="1286111229">
          <w:marLeft w:val="0"/>
          <w:marRight w:val="0"/>
          <w:marTop w:val="0"/>
          <w:marBottom w:val="0"/>
          <w:divBdr>
            <w:top w:val="none" w:sz="0" w:space="0" w:color="auto"/>
            <w:left w:val="none" w:sz="0" w:space="0" w:color="auto"/>
            <w:bottom w:val="none" w:sz="0" w:space="0" w:color="auto"/>
            <w:right w:val="none" w:sz="0" w:space="0" w:color="auto"/>
          </w:divBdr>
        </w:div>
      </w:divsChild>
    </w:div>
    <w:div w:id="1000621318">
      <w:bodyDiv w:val="1"/>
      <w:marLeft w:val="0"/>
      <w:marRight w:val="0"/>
      <w:marTop w:val="0"/>
      <w:marBottom w:val="0"/>
      <w:divBdr>
        <w:top w:val="none" w:sz="0" w:space="0" w:color="auto"/>
        <w:left w:val="none" w:sz="0" w:space="0" w:color="auto"/>
        <w:bottom w:val="none" w:sz="0" w:space="0" w:color="auto"/>
        <w:right w:val="none" w:sz="0" w:space="0" w:color="auto"/>
      </w:divBdr>
    </w:div>
    <w:div w:id="1062362472">
      <w:bodyDiv w:val="1"/>
      <w:marLeft w:val="0"/>
      <w:marRight w:val="0"/>
      <w:marTop w:val="0"/>
      <w:marBottom w:val="0"/>
      <w:divBdr>
        <w:top w:val="none" w:sz="0" w:space="0" w:color="auto"/>
        <w:left w:val="none" w:sz="0" w:space="0" w:color="auto"/>
        <w:bottom w:val="none" w:sz="0" w:space="0" w:color="auto"/>
        <w:right w:val="none" w:sz="0" w:space="0" w:color="auto"/>
      </w:divBdr>
    </w:div>
    <w:div w:id="1188103584">
      <w:bodyDiv w:val="1"/>
      <w:marLeft w:val="0"/>
      <w:marRight w:val="0"/>
      <w:marTop w:val="0"/>
      <w:marBottom w:val="0"/>
      <w:divBdr>
        <w:top w:val="none" w:sz="0" w:space="0" w:color="auto"/>
        <w:left w:val="none" w:sz="0" w:space="0" w:color="auto"/>
        <w:bottom w:val="none" w:sz="0" w:space="0" w:color="auto"/>
        <w:right w:val="none" w:sz="0" w:space="0" w:color="auto"/>
      </w:divBdr>
      <w:divsChild>
        <w:div w:id="2130858470">
          <w:marLeft w:val="0"/>
          <w:marRight w:val="0"/>
          <w:marTop w:val="0"/>
          <w:marBottom w:val="0"/>
          <w:divBdr>
            <w:top w:val="none" w:sz="0" w:space="0" w:color="auto"/>
            <w:left w:val="none" w:sz="0" w:space="0" w:color="auto"/>
            <w:bottom w:val="none" w:sz="0" w:space="0" w:color="auto"/>
            <w:right w:val="none" w:sz="0" w:space="0" w:color="auto"/>
          </w:divBdr>
          <w:divsChild>
            <w:div w:id="13925551">
              <w:marLeft w:val="0"/>
              <w:marRight w:val="0"/>
              <w:marTop w:val="0"/>
              <w:marBottom w:val="0"/>
              <w:divBdr>
                <w:top w:val="none" w:sz="0" w:space="0" w:color="auto"/>
                <w:left w:val="none" w:sz="0" w:space="0" w:color="auto"/>
                <w:bottom w:val="none" w:sz="0" w:space="0" w:color="auto"/>
                <w:right w:val="none" w:sz="0" w:space="0" w:color="auto"/>
              </w:divBdr>
            </w:div>
          </w:divsChild>
        </w:div>
        <w:div w:id="580986064">
          <w:marLeft w:val="0"/>
          <w:marRight w:val="0"/>
          <w:marTop w:val="0"/>
          <w:marBottom w:val="0"/>
          <w:divBdr>
            <w:top w:val="none" w:sz="0" w:space="0" w:color="auto"/>
            <w:left w:val="none" w:sz="0" w:space="0" w:color="auto"/>
            <w:bottom w:val="none" w:sz="0" w:space="0" w:color="auto"/>
            <w:right w:val="none" w:sz="0" w:space="0" w:color="auto"/>
          </w:divBdr>
          <w:divsChild>
            <w:div w:id="612907226">
              <w:marLeft w:val="0"/>
              <w:marRight w:val="0"/>
              <w:marTop w:val="0"/>
              <w:marBottom w:val="0"/>
              <w:divBdr>
                <w:top w:val="none" w:sz="0" w:space="0" w:color="auto"/>
                <w:left w:val="none" w:sz="0" w:space="0" w:color="auto"/>
                <w:bottom w:val="none" w:sz="0" w:space="0" w:color="auto"/>
                <w:right w:val="none" w:sz="0" w:space="0" w:color="auto"/>
              </w:divBdr>
              <w:divsChild>
                <w:div w:id="341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5211">
      <w:bodyDiv w:val="1"/>
      <w:marLeft w:val="0"/>
      <w:marRight w:val="0"/>
      <w:marTop w:val="0"/>
      <w:marBottom w:val="0"/>
      <w:divBdr>
        <w:top w:val="none" w:sz="0" w:space="0" w:color="auto"/>
        <w:left w:val="none" w:sz="0" w:space="0" w:color="auto"/>
        <w:bottom w:val="none" w:sz="0" w:space="0" w:color="auto"/>
        <w:right w:val="none" w:sz="0" w:space="0" w:color="auto"/>
      </w:divBdr>
    </w:div>
    <w:div w:id="1399092202">
      <w:bodyDiv w:val="1"/>
      <w:marLeft w:val="0"/>
      <w:marRight w:val="0"/>
      <w:marTop w:val="0"/>
      <w:marBottom w:val="0"/>
      <w:divBdr>
        <w:top w:val="none" w:sz="0" w:space="0" w:color="auto"/>
        <w:left w:val="none" w:sz="0" w:space="0" w:color="auto"/>
        <w:bottom w:val="none" w:sz="0" w:space="0" w:color="auto"/>
        <w:right w:val="none" w:sz="0" w:space="0" w:color="auto"/>
      </w:divBdr>
    </w:div>
    <w:div w:id="1475560784">
      <w:bodyDiv w:val="1"/>
      <w:marLeft w:val="0"/>
      <w:marRight w:val="0"/>
      <w:marTop w:val="0"/>
      <w:marBottom w:val="0"/>
      <w:divBdr>
        <w:top w:val="none" w:sz="0" w:space="0" w:color="auto"/>
        <w:left w:val="none" w:sz="0" w:space="0" w:color="auto"/>
        <w:bottom w:val="none" w:sz="0" w:space="0" w:color="auto"/>
        <w:right w:val="none" w:sz="0" w:space="0" w:color="auto"/>
      </w:divBdr>
    </w:div>
    <w:div w:id="1507787325">
      <w:bodyDiv w:val="1"/>
      <w:marLeft w:val="0"/>
      <w:marRight w:val="0"/>
      <w:marTop w:val="0"/>
      <w:marBottom w:val="0"/>
      <w:divBdr>
        <w:top w:val="none" w:sz="0" w:space="0" w:color="auto"/>
        <w:left w:val="none" w:sz="0" w:space="0" w:color="auto"/>
        <w:bottom w:val="none" w:sz="0" w:space="0" w:color="auto"/>
        <w:right w:val="none" w:sz="0" w:space="0" w:color="auto"/>
      </w:divBdr>
    </w:div>
    <w:div w:id="1674644841">
      <w:bodyDiv w:val="1"/>
      <w:marLeft w:val="0"/>
      <w:marRight w:val="0"/>
      <w:marTop w:val="0"/>
      <w:marBottom w:val="0"/>
      <w:divBdr>
        <w:top w:val="none" w:sz="0" w:space="0" w:color="auto"/>
        <w:left w:val="none" w:sz="0" w:space="0" w:color="auto"/>
        <w:bottom w:val="none" w:sz="0" w:space="0" w:color="auto"/>
        <w:right w:val="none" w:sz="0" w:space="0" w:color="auto"/>
      </w:divBdr>
    </w:div>
    <w:div w:id="1683120427">
      <w:bodyDiv w:val="1"/>
      <w:marLeft w:val="0"/>
      <w:marRight w:val="0"/>
      <w:marTop w:val="0"/>
      <w:marBottom w:val="0"/>
      <w:divBdr>
        <w:top w:val="none" w:sz="0" w:space="0" w:color="auto"/>
        <w:left w:val="none" w:sz="0" w:space="0" w:color="auto"/>
        <w:bottom w:val="none" w:sz="0" w:space="0" w:color="auto"/>
        <w:right w:val="none" w:sz="0" w:space="0" w:color="auto"/>
      </w:divBdr>
    </w:div>
    <w:div w:id="179879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aratiritirioanapirias.gr/" TargetMode="External"/><Relationship Id="rId14" Type="http://schemas.openxmlformats.org/officeDocument/2006/relationships/hyperlink" Target="https://paratiritirioanapirias.gr/el/results/publications/104/koinwnikh-prostasia-sthn-ellada-oi-paroxes-gia-thn-anaphria-katatassoyn-th-xwra-stis-teleytaies-8eseis-ths-eyrwph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948;&#949;&#955;&#964;&#953;&#959;%20&#964;&#961;&#953;&#960;&#964;&#965;&#967;&#959;\&#948;&#949;&#955;&#964;&#953;&#959;%201_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948;&#949;&#955;&#964;&#953;&#959;%20&#964;&#961;&#953;&#960;&#964;&#965;&#967;&#959;\&#948;&#949;&#955;&#964;&#953;&#959;%201_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esktop\hlth_dpe010__custom_17222742_page_spread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'Φύλλο1 (3)'!$A$2</c:f>
              <c:strCache>
                <c:ptCount val="1"/>
                <c:pt idx="0">
                  <c:v>άτομα με μέτρια ή σοβαρή αναπηρία 16 ετών και άνω</c:v>
                </c:pt>
              </c:strCache>
            </c:strRef>
          </c:tx>
          <c:spPr>
            <a:ln w="28575" cap="rnd">
              <a:solidFill>
                <a:schemeClr val="accent2"/>
              </a:solidFill>
              <a:round/>
            </a:ln>
            <a:effectLst/>
          </c:spPr>
          <c:marker>
            <c:symbol val="none"/>
          </c:marker>
          <c:dLbls>
            <c:dLbl>
              <c:idx val="2"/>
              <c:layout>
                <c:manualLayout>
                  <c:x val="2.4724061810154525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5E-40FC-87FE-1F6C9657F61B}"/>
                </c:ext>
              </c:extLst>
            </c:dLbl>
            <c:dLbl>
              <c:idx val="3"/>
              <c:layout>
                <c:manualLayout>
                  <c:x val="-6.4752747187810296E-17"/>
                  <c:y val="-3.9351851851851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5E-40FC-87FE-1F6C9657F61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 (3)'!$B$1:$K$1</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'Φύλλο1 (3)'!$B$2:$K$2</c:f>
              <c:numCache>
                <c:formatCode>#,##0.0</c:formatCode>
                <c:ptCount val="10"/>
                <c:pt idx="0" formatCode="#,##0.##########">
                  <c:v>30.1</c:v>
                </c:pt>
                <c:pt idx="1">
                  <c:v>30</c:v>
                </c:pt>
                <c:pt idx="2" formatCode="#,##0.##########">
                  <c:v>31.5</c:v>
                </c:pt>
                <c:pt idx="3" formatCode="#,##0.##########">
                  <c:v>30.1</c:v>
                </c:pt>
                <c:pt idx="4">
                  <c:v>32</c:v>
                </c:pt>
                <c:pt idx="5">
                  <c:v>29</c:v>
                </c:pt>
                <c:pt idx="6" formatCode="#,##0.##########">
                  <c:v>28.3</c:v>
                </c:pt>
                <c:pt idx="7" formatCode="#,##0.##########">
                  <c:v>29.1</c:v>
                </c:pt>
                <c:pt idx="8" formatCode="#,##0.##########">
                  <c:v>30.6</c:v>
                </c:pt>
                <c:pt idx="9">
                  <c:v>33</c:v>
                </c:pt>
              </c:numCache>
            </c:numRef>
          </c:val>
          <c:smooth val="0"/>
          <c:extLst>
            <c:ext xmlns:c16="http://schemas.microsoft.com/office/drawing/2014/chart" uri="{C3380CC4-5D6E-409C-BE32-E72D297353CC}">
              <c16:uniqueId val="{00000002-355E-40FC-87FE-1F6C9657F61B}"/>
            </c:ext>
          </c:extLst>
        </c:ser>
        <c:ser>
          <c:idx val="1"/>
          <c:order val="1"/>
          <c:tx>
            <c:strRef>
              <c:f>'Φύλλο1 (3)'!$A$3</c:f>
              <c:strCache>
                <c:ptCount val="1"/>
                <c:pt idx="0">
                  <c:v>άτομα με σοβαρή αναπηρία 16 ετών και άνω</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 (3)'!$B$1:$K$1</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'Φύλλο1 (3)'!$B$3:$K$3</c:f>
              <c:numCache>
                <c:formatCode>#,##0.##########</c:formatCode>
                <c:ptCount val="10"/>
                <c:pt idx="0">
                  <c:v>33.1</c:v>
                </c:pt>
                <c:pt idx="1">
                  <c:v>31.4</c:v>
                </c:pt>
                <c:pt idx="2">
                  <c:v>34.4</c:v>
                </c:pt>
                <c:pt idx="3">
                  <c:v>34.5</c:v>
                </c:pt>
                <c:pt idx="4">
                  <c:v>36.1</c:v>
                </c:pt>
                <c:pt idx="5">
                  <c:v>31.9</c:v>
                </c:pt>
                <c:pt idx="6">
                  <c:v>32.200000000000003</c:v>
                </c:pt>
                <c:pt idx="7">
                  <c:v>35.1</c:v>
                </c:pt>
                <c:pt idx="8">
                  <c:v>34.1</c:v>
                </c:pt>
                <c:pt idx="9">
                  <c:v>35.700000000000003</c:v>
                </c:pt>
              </c:numCache>
            </c:numRef>
          </c:val>
          <c:smooth val="0"/>
          <c:extLst>
            <c:ext xmlns:c16="http://schemas.microsoft.com/office/drawing/2014/chart" uri="{C3380CC4-5D6E-409C-BE32-E72D297353CC}">
              <c16:uniqueId val="{00000003-355E-40FC-87FE-1F6C9657F61B}"/>
            </c:ext>
          </c:extLst>
        </c:ser>
        <c:ser>
          <c:idx val="4"/>
          <c:order val="4"/>
          <c:tx>
            <c:strRef>
              <c:f>'Φύλλο1 (3)'!$A$4</c:f>
              <c:strCache>
                <c:ptCount val="1"/>
                <c:pt idx="0">
                  <c:v>άτομα χωρίς αναπηρία 16 ετών και άνω</c:v>
                </c:pt>
              </c:strCache>
            </c:strRef>
          </c:tx>
          <c:spPr>
            <a:ln w="28575" cap="rnd">
              <a:solidFill>
                <a:schemeClr val="accent4">
                  <a:lumMod val="60000"/>
                </a:schemeClr>
              </a:solidFill>
              <a:round/>
            </a:ln>
            <a:effectLst/>
          </c:spPr>
          <c:marker>
            <c:symbol val="none"/>
          </c:marker>
          <c:dLbls>
            <c:dLbl>
              <c:idx val="2"/>
              <c:layout>
                <c:manualLayout>
                  <c:x val="-8.8300220750551876E-3"/>
                  <c:y val="3.0092592592592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5E-40FC-87FE-1F6C9657F61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 (3)'!$B$1:$K$1</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'Φύλλο1 (3)'!$B$4:$K$4</c:f>
              <c:numCache>
                <c:formatCode>#,##0.##########</c:formatCode>
                <c:ptCount val="10"/>
                <c:pt idx="0">
                  <c:v>31.7</c:v>
                </c:pt>
                <c:pt idx="1">
                  <c:v>32.299999999999997</c:v>
                </c:pt>
                <c:pt idx="2">
                  <c:v>31.3</c:v>
                </c:pt>
                <c:pt idx="3">
                  <c:v>29.3</c:v>
                </c:pt>
                <c:pt idx="4">
                  <c:v>27.6</c:v>
                </c:pt>
                <c:pt idx="5">
                  <c:v>26.2</c:v>
                </c:pt>
                <c:pt idx="6">
                  <c:v>27.4</c:v>
                </c:pt>
                <c:pt idx="7">
                  <c:v>25.1</c:v>
                </c:pt>
                <c:pt idx="8">
                  <c:v>24.2</c:v>
                </c:pt>
                <c:pt idx="9">
                  <c:v>25.1</c:v>
                </c:pt>
              </c:numCache>
            </c:numRef>
          </c:val>
          <c:smooth val="0"/>
          <c:extLst>
            <c:ext xmlns:c16="http://schemas.microsoft.com/office/drawing/2014/chart" uri="{C3380CC4-5D6E-409C-BE32-E72D297353CC}">
              <c16:uniqueId val="{00000005-355E-40FC-87FE-1F6C9657F61B}"/>
            </c:ext>
          </c:extLst>
        </c:ser>
        <c:dLbls>
          <c:showLegendKey val="0"/>
          <c:showVal val="0"/>
          <c:showCatName val="0"/>
          <c:showSerName val="0"/>
          <c:showPercent val="0"/>
          <c:showBubbleSize val="0"/>
        </c:dLbls>
        <c:smooth val="0"/>
        <c:axId val="170775072"/>
        <c:axId val="170789952"/>
        <c:extLst>
          <c:ext xmlns:c15="http://schemas.microsoft.com/office/drawing/2012/chart" uri="{02D57815-91ED-43cb-92C2-25804820EDAC}">
            <c15:filteredLineSeries>
              <c15:ser>
                <c:idx val="2"/>
                <c:order val="2"/>
                <c:tx>
                  <c:strRef>
                    <c:extLst>
                      <c:ext uri="{02D57815-91ED-43cb-92C2-25804820EDAC}">
                        <c15:formulaRef>
                          <c15:sqref>'Φύλλο1 (3)'!#REF!</c15:sqref>
                        </c15:formulaRef>
                      </c:ext>
                    </c:extLst>
                    <c:strCache>
                      <c:ptCount val="1"/>
                      <c:pt idx="0">
                        <c:v>#REF!</c:v>
                      </c:pt>
                    </c:strCache>
                  </c:strRef>
                </c:tx>
                <c:spPr>
                  <a:ln w="28575" cap="rnd">
                    <a:solidFill>
                      <a:schemeClr val="accent6"/>
                    </a:solidFill>
                    <a:round/>
                  </a:ln>
                  <a:effectLst/>
                </c:spPr>
                <c:marker>
                  <c:symbol val="none"/>
                </c:marker>
                <c:cat>
                  <c:strRef>
                    <c:extLst>
                      <c:ext uri="{02D57815-91ED-43cb-92C2-25804820EDAC}">
                        <c15:formulaRef>
                          <c15:sqref>'Φύλλο1 (3)'!$B$1:$K$1</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c:ext uri="{02D57815-91ED-43cb-92C2-25804820EDAC}">
                        <c15:formulaRef>
                          <c15:sqref>'Φύλλο1 (3)'!#REF!</c15:sqref>
                        </c15:formulaRef>
                      </c:ext>
                    </c:extLst>
                    <c:numCache>
                      <c:formatCode>General</c:formatCode>
                      <c:ptCount val="1"/>
                      <c:pt idx="0">
                        <c:v>1</c:v>
                      </c:pt>
                    </c:numCache>
                  </c:numRef>
                </c:val>
                <c:smooth val="0"/>
                <c:extLst>
                  <c:ext xmlns:c16="http://schemas.microsoft.com/office/drawing/2014/chart" uri="{C3380CC4-5D6E-409C-BE32-E72D297353CC}">
                    <c16:uniqueId val="{00000006-355E-40FC-87FE-1F6C9657F61B}"/>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'Φύλλο1 (3)'!#REF!</c15:sqref>
                        </c15:formulaRef>
                      </c:ext>
                    </c:extLst>
                    <c:strCache>
                      <c:ptCount val="1"/>
                      <c:pt idx="0">
                        <c:v>#REF!</c:v>
                      </c:pt>
                    </c:strCache>
                  </c:strRef>
                </c:tx>
                <c:spPr>
                  <a:ln w="28575" cap="rnd">
                    <a:solidFill>
                      <a:schemeClr val="accent2">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'Φύλλο1 (3)'!$B$1:$K$1</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'Φύλλο1 (3)'!#REF!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7-355E-40FC-87FE-1F6C9657F61B}"/>
                  </c:ext>
                </c:extLst>
              </c15:ser>
            </c15:filteredLineSeries>
          </c:ext>
        </c:extLst>
      </c:lineChart>
      <c:catAx>
        <c:axId val="17077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70789952"/>
        <c:crosses val="autoZero"/>
        <c:auto val="1"/>
        <c:lblAlgn val="ctr"/>
        <c:lblOffset val="100"/>
        <c:noMultiLvlLbl val="0"/>
      </c:catAx>
      <c:valAx>
        <c:axId val="170789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7077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03259952486681E-2"/>
          <c:y val="9.4423131604584931E-2"/>
          <c:w val="0.90790852263139632"/>
          <c:h val="0.65466768607196302"/>
        </c:manualLayout>
      </c:layout>
      <c:lineChart>
        <c:grouping val="standard"/>
        <c:varyColors val="0"/>
        <c:ser>
          <c:idx val="0"/>
          <c:order val="0"/>
          <c:tx>
            <c:strRef>
              <c:f>'Φύλλο1 (2)'!$A$2</c:f>
              <c:strCache>
                <c:ptCount val="1"/>
                <c:pt idx="0">
                  <c:v>άτομα με μέτρια ή σοβαρή αναπηρία 65 ετών και άνω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 (2)'!$B$1:$K$1</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'Φύλλο1 (2)'!$B$2:$K$2</c:f>
              <c:numCache>
                <c:formatCode>#,##0.##########</c:formatCode>
                <c:ptCount val="10"/>
                <c:pt idx="0">
                  <c:v>19.5</c:v>
                </c:pt>
                <c:pt idx="1">
                  <c:v>17.600000000000001</c:v>
                </c:pt>
                <c:pt idx="2">
                  <c:v>20.6</c:v>
                </c:pt>
                <c:pt idx="3">
                  <c:v>20.7</c:v>
                </c:pt>
                <c:pt idx="4">
                  <c:v>23.1</c:v>
                </c:pt>
                <c:pt idx="5">
                  <c:v>21.3</c:v>
                </c:pt>
                <c:pt idx="6">
                  <c:v>20.8</c:v>
                </c:pt>
                <c:pt idx="7">
                  <c:v>22.7</c:v>
                </c:pt>
                <c:pt idx="8">
                  <c:v>26.4</c:v>
                </c:pt>
                <c:pt idx="9">
                  <c:v>27.6</c:v>
                </c:pt>
              </c:numCache>
            </c:numRef>
          </c:val>
          <c:smooth val="0"/>
          <c:extLst>
            <c:ext xmlns:c16="http://schemas.microsoft.com/office/drawing/2014/chart" uri="{C3380CC4-5D6E-409C-BE32-E72D297353CC}">
              <c16:uniqueId val="{00000000-1F28-4E39-AD9F-A1142497831D}"/>
            </c:ext>
          </c:extLst>
        </c:ser>
        <c:ser>
          <c:idx val="1"/>
          <c:order val="1"/>
          <c:tx>
            <c:strRef>
              <c:f>'Φύλλο1 (2)'!$A$3</c:f>
              <c:strCache>
                <c:ptCount val="1"/>
                <c:pt idx="0">
                  <c:v>άτομα με σοβαρή αναπηρία 65 ετών και άνω </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 (2)'!$B$1:$K$1</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'Φύλλο1 (2)'!$B$3:$K$3</c:f>
              <c:numCache>
                <c:formatCode>#,##0.##########</c:formatCode>
                <c:ptCount val="10"/>
                <c:pt idx="0">
                  <c:v>22.4</c:v>
                </c:pt>
                <c:pt idx="1">
                  <c:v>19.3</c:v>
                </c:pt>
                <c:pt idx="2" formatCode="#,##0.0">
                  <c:v>23</c:v>
                </c:pt>
                <c:pt idx="3">
                  <c:v>23.4</c:v>
                </c:pt>
                <c:pt idx="4">
                  <c:v>25.6</c:v>
                </c:pt>
                <c:pt idx="5">
                  <c:v>23.6</c:v>
                </c:pt>
                <c:pt idx="6">
                  <c:v>22.7</c:v>
                </c:pt>
                <c:pt idx="7">
                  <c:v>27.4</c:v>
                </c:pt>
                <c:pt idx="8">
                  <c:v>27.8</c:v>
                </c:pt>
                <c:pt idx="9">
                  <c:v>30.2</c:v>
                </c:pt>
              </c:numCache>
            </c:numRef>
          </c:val>
          <c:smooth val="0"/>
          <c:extLst>
            <c:ext xmlns:c16="http://schemas.microsoft.com/office/drawing/2014/chart" uri="{C3380CC4-5D6E-409C-BE32-E72D297353CC}">
              <c16:uniqueId val="{00000001-1F28-4E39-AD9F-A1142497831D}"/>
            </c:ext>
          </c:extLst>
        </c:ser>
        <c:ser>
          <c:idx val="2"/>
          <c:order val="2"/>
          <c:tx>
            <c:strRef>
              <c:f>'Φύλλο1 (2)'!$A$4</c:f>
              <c:strCache>
                <c:ptCount val="1"/>
                <c:pt idx="0">
                  <c:v>άτομα με μέτρια ή σοβαρή αναπηρία 16-64 ετών</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 (2)'!$B$1:$K$1</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'Φύλλο1 (2)'!$B$4:$K$4</c:f>
              <c:numCache>
                <c:formatCode>#,##0.##########</c:formatCode>
                <c:ptCount val="10"/>
                <c:pt idx="0">
                  <c:v>45.5</c:v>
                </c:pt>
                <c:pt idx="1">
                  <c:v>48.3</c:v>
                </c:pt>
                <c:pt idx="2">
                  <c:v>48.6</c:v>
                </c:pt>
                <c:pt idx="3">
                  <c:v>49.3</c:v>
                </c:pt>
                <c:pt idx="4">
                  <c:v>49.6</c:v>
                </c:pt>
                <c:pt idx="5">
                  <c:v>45.4</c:v>
                </c:pt>
                <c:pt idx="6">
                  <c:v>43.6</c:v>
                </c:pt>
                <c:pt idx="7">
                  <c:v>42.2</c:v>
                </c:pt>
                <c:pt idx="8">
                  <c:v>39.9</c:v>
                </c:pt>
                <c:pt idx="9">
                  <c:v>48.3</c:v>
                </c:pt>
              </c:numCache>
            </c:numRef>
          </c:val>
          <c:smooth val="0"/>
          <c:extLst>
            <c:ext xmlns:c16="http://schemas.microsoft.com/office/drawing/2014/chart" uri="{C3380CC4-5D6E-409C-BE32-E72D297353CC}">
              <c16:uniqueId val="{00000002-1F28-4E39-AD9F-A1142497831D}"/>
            </c:ext>
          </c:extLst>
        </c:ser>
        <c:ser>
          <c:idx val="3"/>
          <c:order val="3"/>
          <c:tx>
            <c:strRef>
              <c:f>'Φύλλο1 (2)'!$A$5</c:f>
              <c:strCache>
                <c:ptCount val="1"/>
                <c:pt idx="0">
                  <c:v>άτομα με σοβαρή αναπηρία 16-64 ετών </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 (2)'!$B$1:$K$1</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'Φύλλο1 (2)'!$B$5:$K$5</c:f>
              <c:numCache>
                <c:formatCode>#,##0.##########</c:formatCode>
                <c:ptCount val="10"/>
                <c:pt idx="0">
                  <c:v>54.5</c:v>
                </c:pt>
                <c:pt idx="1">
                  <c:v>51.4</c:v>
                </c:pt>
                <c:pt idx="2">
                  <c:v>53.9</c:v>
                </c:pt>
                <c:pt idx="3">
                  <c:v>54.7</c:v>
                </c:pt>
                <c:pt idx="4">
                  <c:v>49.8</c:v>
                </c:pt>
                <c:pt idx="5">
                  <c:v>47.2</c:v>
                </c:pt>
                <c:pt idx="6" formatCode="#,##0.0">
                  <c:v>39</c:v>
                </c:pt>
                <c:pt idx="7">
                  <c:v>52.4</c:v>
                </c:pt>
                <c:pt idx="8">
                  <c:v>53.9</c:v>
                </c:pt>
                <c:pt idx="9">
                  <c:v>53.6</c:v>
                </c:pt>
              </c:numCache>
            </c:numRef>
          </c:val>
          <c:smooth val="0"/>
          <c:extLst>
            <c:ext xmlns:c16="http://schemas.microsoft.com/office/drawing/2014/chart" uri="{C3380CC4-5D6E-409C-BE32-E72D297353CC}">
              <c16:uniqueId val="{00000003-1F28-4E39-AD9F-A1142497831D}"/>
            </c:ext>
          </c:extLst>
        </c:ser>
        <c:ser>
          <c:idx val="4"/>
          <c:order val="4"/>
          <c:tx>
            <c:strRef>
              <c:f>'Φύλλο1 (2)'!$A$6</c:f>
              <c:strCache>
                <c:ptCount val="1"/>
                <c:pt idx="0">
                  <c:v>άτομα χωρίς αναπηρία 16-64 ετών </c:v>
                </c:pt>
              </c:strCache>
            </c:strRef>
          </c:tx>
          <c:spPr>
            <a:ln w="28575" cap="rnd">
              <a:solidFill>
                <a:schemeClr val="accent4">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 (2)'!$B$1:$K$1</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'Φύλλο1 (2)'!$B$6:$K$6</c:f>
              <c:numCache>
                <c:formatCode>#,##0.0</c:formatCode>
                <c:ptCount val="10"/>
                <c:pt idx="0" formatCode="#,##0.##########">
                  <c:v>34.4</c:v>
                </c:pt>
                <c:pt idx="1">
                  <c:v>35</c:v>
                </c:pt>
                <c:pt idx="2" formatCode="#,##0.##########">
                  <c:v>33.9</c:v>
                </c:pt>
                <c:pt idx="3" formatCode="#,##0.##########">
                  <c:v>31.2</c:v>
                </c:pt>
                <c:pt idx="4" formatCode="#,##0.##########">
                  <c:v>29.4</c:v>
                </c:pt>
                <c:pt idx="5" formatCode="#,##0.##########">
                  <c:v>27.7</c:v>
                </c:pt>
                <c:pt idx="6" formatCode="#,##0.##########">
                  <c:v>29.1</c:v>
                </c:pt>
                <c:pt idx="7" formatCode="#,##0.##########">
                  <c:v>26.2</c:v>
                </c:pt>
                <c:pt idx="8" formatCode="#,##0.##########">
                  <c:v>24.9</c:v>
                </c:pt>
                <c:pt idx="9" formatCode="#,##0.##########">
                  <c:v>25.8</c:v>
                </c:pt>
              </c:numCache>
            </c:numRef>
          </c:val>
          <c:smooth val="0"/>
          <c:extLst>
            <c:ext xmlns:c16="http://schemas.microsoft.com/office/drawing/2014/chart" uri="{C3380CC4-5D6E-409C-BE32-E72D297353CC}">
              <c16:uniqueId val="{00000004-1F28-4E39-AD9F-A1142497831D}"/>
            </c:ext>
          </c:extLst>
        </c:ser>
        <c:ser>
          <c:idx val="5"/>
          <c:order val="5"/>
          <c:tx>
            <c:strRef>
              <c:f>'Φύλλο1 (2)'!$A$7</c:f>
              <c:strCache>
                <c:ptCount val="1"/>
                <c:pt idx="0">
                  <c:v>άτομα χωρίς αναπηρία 65 ετών και άνω </c:v>
                </c:pt>
              </c:strCache>
            </c:strRef>
          </c:tx>
          <c:spPr>
            <a:ln w="28575" cap="rnd">
              <a:solidFill>
                <a:schemeClr val="accent6">
                  <a:lumMod val="60000"/>
                </a:schemeClr>
              </a:solidFill>
              <a:round/>
            </a:ln>
            <a:effectLst/>
          </c:spPr>
          <c:marker>
            <c:symbol val="none"/>
          </c:marker>
          <c:cat>
            <c:strRef>
              <c:f>'Φύλλο1 (2)'!$B$1:$K$1</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'Φύλλο1 (2)'!$B$7:$K$7</c:f>
              <c:numCache>
                <c:formatCode>#,##0.0</c:formatCode>
                <c:ptCount val="10"/>
                <c:pt idx="0" formatCode="#,##0.##########">
                  <c:v>13.8</c:v>
                </c:pt>
                <c:pt idx="1">
                  <c:v>15</c:v>
                </c:pt>
                <c:pt idx="2" formatCode="#,##0.##########">
                  <c:v>15.2</c:v>
                </c:pt>
                <c:pt idx="3" formatCode="#,##0.##########">
                  <c:v>16.100000000000001</c:v>
                </c:pt>
                <c:pt idx="4" formatCode="#,##0.##########">
                  <c:v>16.2</c:v>
                </c:pt>
                <c:pt idx="5" formatCode="#,##0.##########">
                  <c:v>16.3</c:v>
                </c:pt>
                <c:pt idx="6" formatCode="#,##0.##########">
                  <c:v>16.899999999999999</c:v>
                </c:pt>
                <c:pt idx="7" formatCode="#,##0.##########">
                  <c:v>18.7</c:v>
                </c:pt>
                <c:pt idx="8" formatCode="#,##0.##########">
                  <c:v>20.100000000000001</c:v>
                </c:pt>
                <c:pt idx="9" formatCode="#,##0.##########">
                  <c:v>21.8</c:v>
                </c:pt>
              </c:numCache>
            </c:numRef>
          </c:val>
          <c:smooth val="0"/>
          <c:extLst>
            <c:ext xmlns:c16="http://schemas.microsoft.com/office/drawing/2014/chart" uri="{C3380CC4-5D6E-409C-BE32-E72D297353CC}">
              <c16:uniqueId val="{00000005-1F28-4E39-AD9F-A1142497831D}"/>
            </c:ext>
          </c:extLst>
        </c:ser>
        <c:dLbls>
          <c:showLegendKey val="0"/>
          <c:showVal val="0"/>
          <c:showCatName val="0"/>
          <c:showSerName val="0"/>
          <c:showPercent val="0"/>
          <c:showBubbleSize val="0"/>
        </c:dLbls>
        <c:smooth val="0"/>
        <c:axId val="559845296"/>
        <c:axId val="559845776"/>
      </c:lineChart>
      <c:catAx>
        <c:axId val="55984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59845776"/>
        <c:crosses val="autoZero"/>
        <c:auto val="1"/>
        <c:lblAlgn val="ctr"/>
        <c:lblOffset val="100"/>
        <c:noMultiLvlLbl val="0"/>
      </c:catAx>
      <c:valAx>
        <c:axId val="559845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59845296"/>
        <c:crosses val="autoZero"/>
        <c:crossBetween val="between"/>
      </c:valAx>
      <c:spPr>
        <a:noFill/>
        <a:ln>
          <a:noFill/>
        </a:ln>
        <a:effectLst/>
      </c:spPr>
    </c:plotArea>
    <c:legend>
      <c:legendPos val="b"/>
      <c:layout>
        <c:manualLayout>
          <c:xMode val="edge"/>
          <c:yMode val="edge"/>
          <c:x val="2.7148574884676997E-3"/>
          <c:y val="0.83481796593036728"/>
          <c:w val="0.88862277719739646"/>
          <c:h val="0.150108550838882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Pt>
            <c:idx val="0"/>
            <c:invertIfNegative val="0"/>
            <c:bubble3D val="0"/>
            <c:spPr>
              <a:solidFill>
                <a:schemeClr val="accent3">
                  <a:lumMod val="75000"/>
                </a:schemeClr>
              </a:solidFill>
              <a:ln>
                <a:noFill/>
              </a:ln>
              <a:effectLst/>
            </c:spPr>
            <c:extLst>
              <c:ext xmlns:c16="http://schemas.microsoft.com/office/drawing/2014/chart" uri="{C3380CC4-5D6E-409C-BE32-E72D297353CC}">
                <c16:uniqueId val="{00000001-79EC-4EAD-B231-275F49B344C1}"/>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03-79EC-4EAD-B231-275F49B344C1}"/>
              </c:ext>
            </c:extLst>
          </c:dPt>
          <c:dLbls>
            <c:dLbl>
              <c:idx val="0"/>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extLst>
                <c:ext xmlns:c16="http://schemas.microsoft.com/office/drawing/2014/chart" uri="{C3380CC4-5D6E-409C-BE32-E72D297353CC}">
                  <c16:uniqueId val="{00000001-79EC-4EAD-B231-275F49B344C1}"/>
                </c:ext>
              </c:extLst>
            </c:dLbl>
            <c:dLbl>
              <c:idx val="12"/>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extLst>
                <c:ext xmlns:c16="http://schemas.microsoft.com/office/drawing/2014/chart" uri="{C3380CC4-5D6E-409C-BE32-E72D297353CC}">
                  <c16:uniqueId val="{00000003-79EC-4EAD-B231-275F49B344C1}"/>
                </c:ext>
              </c:extLst>
            </c:dLbl>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Φύλλο1!$B$3:$B$30</c:f>
              <c:strCache>
                <c:ptCount val="28"/>
                <c:pt idx="0">
                  <c:v>Ελλάδα</c:v>
                </c:pt>
                <c:pt idx="1">
                  <c:v>Ισπανία</c:v>
                </c:pt>
                <c:pt idx="2">
                  <c:v>Μάλτα</c:v>
                </c:pt>
                <c:pt idx="3">
                  <c:v>Γερμανία</c:v>
                </c:pt>
                <c:pt idx="4">
                  <c:v>Δανία</c:v>
                </c:pt>
                <c:pt idx="5">
                  <c:v>Ολλανδία</c:v>
                </c:pt>
                <c:pt idx="6">
                  <c:v>Λετονία</c:v>
                </c:pt>
                <c:pt idx="7">
                  <c:v>Φινλανδία</c:v>
                </c:pt>
                <c:pt idx="8">
                  <c:v>Ρουμανία</c:v>
                </c:pt>
                <c:pt idx="9">
                  <c:v>Ιταλία</c:v>
                </c:pt>
                <c:pt idx="10">
                  <c:v>Λιθουανία</c:v>
                </c:pt>
                <c:pt idx="11">
                  <c:v>Πορτογαλία</c:v>
                </c:pt>
                <c:pt idx="12">
                  <c:v>ΕΕ- 27</c:v>
                </c:pt>
                <c:pt idx="13">
                  <c:v>Εσθονία</c:v>
                </c:pt>
                <c:pt idx="14">
                  <c:v>Σουηδία</c:v>
                </c:pt>
                <c:pt idx="15">
                  <c:v>Ουγγαρία</c:v>
                </c:pt>
                <c:pt idx="16">
                  <c:v>Βουλγαρία</c:v>
                </c:pt>
                <c:pt idx="17">
                  <c:v>Γαλλία</c:v>
                </c:pt>
                <c:pt idx="18">
                  <c:v>Κύπρος</c:v>
                </c:pt>
                <c:pt idx="19">
                  <c:v>Ιρλανδία</c:v>
                </c:pt>
                <c:pt idx="20">
                  <c:v>Λουξεμβούργο</c:v>
                </c:pt>
                <c:pt idx="21">
                  <c:v>Βέλγιο</c:v>
                </c:pt>
                <c:pt idx="22">
                  <c:v>Κροατία</c:v>
                </c:pt>
                <c:pt idx="23">
                  <c:v>Τσεχία</c:v>
                </c:pt>
                <c:pt idx="24">
                  <c:v>Αυστρία</c:v>
                </c:pt>
                <c:pt idx="25">
                  <c:v>Πολωνία</c:v>
                </c:pt>
                <c:pt idx="26">
                  <c:v>Σλοβενία</c:v>
                </c:pt>
                <c:pt idx="27">
                  <c:v>Σλοβακία</c:v>
                </c:pt>
              </c:strCache>
            </c:strRef>
          </c:cat>
          <c:val>
            <c:numRef>
              <c:f>Φύλλο1!$C$3:$C$30</c:f>
              <c:numCache>
                <c:formatCode>#,##0.00</c:formatCode>
                <c:ptCount val="28"/>
                <c:pt idx="0">
                  <c:v>5.3</c:v>
                </c:pt>
                <c:pt idx="1">
                  <c:v>6.8</c:v>
                </c:pt>
                <c:pt idx="2">
                  <c:v>6.9000000000000101</c:v>
                </c:pt>
                <c:pt idx="3">
                  <c:v>7.9</c:v>
                </c:pt>
                <c:pt idx="4">
                  <c:v>8.3000000000000007</c:v>
                </c:pt>
                <c:pt idx="5">
                  <c:v>8.6</c:v>
                </c:pt>
                <c:pt idx="6">
                  <c:v>10.3</c:v>
                </c:pt>
                <c:pt idx="7">
                  <c:v>10.9</c:v>
                </c:pt>
                <c:pt idx="8">
                  <c:v>11.1</c:v>
                </c:pt>
                <c:pt idx="9">
                  <c:v>11.3</c:v>
                </c:pt>
                <c:pt idx="10">
                  <c:v>11.4</c:v>
                </c:pt>
                <c:pt idx="11">
                  <c:v>12.1</c:v>
                </c:pt>
                <c:pt idx="12">
                  <c:v>12.4</c:v>
                </c:pt>
                <c:pt idx="13">
                  <c:v>12.6</c:v>
                </c:pt>
                <c:pt idx="14">
                  <c:v>12.8</c:v>
                </c:pt>
                <c:pt idx="15">
                  <c:v>13.7</c:v>
                </c:pt>
                <c:pt idx="16">
                  <c:v>14.1</c:v>
                </c:pt>
                <c:pt idx="17">
                  <c:v>14.2</c:v>
                </c:pt>
                <c:pt idx="18">
                  <c:v>16.399999999999999</c:v>
                </c:pt>
                <c:pt idx="19">
                  <c:v>16.7</c:v>
                </c:pt>
                <c:pt idx="20">
                  <c:v>16.8</c:v>
                </c:pt>
                <c:pt idx="21">
                  <c:v>17.399999999999999</c:v>
                </c:pt>
                <c:pt idx="22">
                  <c:v>17.600000000000001</c:v>
                </c:pt>
                <c:pt idx="23">
                  <c:v>19.8</c:v>
                </c:pt>
                <c:pt idx="24">
                  <c:v>22.1</c:v>
                </c:pt>
                <c:pt idx="25">
                  <c:v>23.2</c:v>
                </c:pt>
                <c:pt idx="26">
                  <c:v>24.2</c:v>
                </c:pt>
                <c:pt idx="27">
                  <c:v>30.1</c:v>
                </c:pt>
              </c:numCache>
            </c:numRef>
          </c:val>
          <c:extLst>
            <c:ext xmlns:c16="http://schemas.microsoft.com/office/drawing/2014/chart" uri="{C3380CC4-5D6E-409C-BE32-E72D297353CC}">
              <c16:uniqueId val="{00000004-79EC-4EAD-B231-275F49B344C1}"/>
            </c:ext>
          </c:extLst>
        </c:ser>
        <c:dLbls>
          <c:showLegendKey val="0"/>
          <c:showVal val="1"/>
          <c:showCatName val="0"/>
          <c:showSerName val="0"/>
          <c:showPercent val="0"/>
          <c:showBubbleSize val="0"/>
        </c:dLbls>
        <c:gapWidth val="219"/>
        <c:axId val="582054256"/>
        <c:axId val="582054800"/>
      </c:barChart>
      <c:catAx>
        <c:axId val="582054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endParaRPr lang="el-GR"/>
          </a:p>
        </c:txPr>
        <c:crossAx val="582054800"/>
        <c:crosses val="autoZero"/>
        <c:auto val="1"/>
        <c:lblAlgn val="ctr"/>
        <c:lblOffset val="100"/>
        <c:noMultiLvlLbl val="0"/>
      </c:catAx>
      <c:valAx>
        <c:axId val="58205480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82054256"/>
        <c:crosses val="autoZero"/>
        <c:crossBetween val="between"/>
      </c:valAx>
      <c:spPr>
        <a:noFill/>
        <a:ln>
          <a:noFill/>
        </a:ln>
        <a:effectLst/>
      </c:spPr>
    </c:plotArea>
    <c:plotVisOnly val="1"/>
    <c:dispBlanksAs val="gap"/>
    <c:showDLblsOverMax val="0"/>
    <c:extLst>
      <c:ext uri="{0b15fc19-7d7d-44ad-8c2d-2c3a37ce22c3}">
        <chartProps xmlns="https://web.wps.cn/et/2018/main" chartId="{3fbf95b7-4835-4452-9a12-71828ca235f1}"/>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Μπλε ΙΙ">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D86E-E0D1-4474-914C-9957532B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5002</Words>
  <Characters>27015</Characters>
  <Application>Microsoft Office Word</Application>
  <DocSecurity>0</DocSecurity>
  <Lines>225</Lines>
  <Paragraphs>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ΔΕΛΤΙΟ ΣΤΑΤΙΣΤΙΚΗΣ ΠΛΗΡΟΦΟΡΗΣΗΣ (2024, 3ο ΔΕΛΤΙΟ)</vt:lpstr>
      <vt:lpstr>ΔΕΛΤΙΟ ΣΤΑΤΙΣΤΙΚΗΣ ΠΛΗΡΟΦΟΡΗΣΗΣ (2024, 3ο ΔΕΛΤΙΟ)</vt:lpstr>
    </vt:vector>
  </TitlesOfParts>
  <Manager/>
  <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ΣΤΑΤΙΣΤΙΚΗΣ ΠΛΗΡΟΦΟΡΗΣΗΣ (2024, 3ο ΔΕΛΤΙΟ)</dc:title>
  <dc:subject>ΦΤΩΧΕΙΑ ΚΑΙ ΚΟΙΝΩΝΙΚΟΣ ΑΠΟΚΛΕΙΣΜΟΣ ΣΤΑ ΑΤΟΜΑ ΜΕ ΑΝΑΠΗΡΙΑ</dc:subject>
  <dc:creator/>
  <dc:description>Επιμέλεια προσβασιμότητας εγγράφου: Αλέξανδρος Μουρούζης</dc:description>
  <cp:lastModifiedBy/>
  <cp:revision>1</cp:revision>
  <dcterms:created xsi:type="dcterms:W3CDTF">2025-09-22T10:52:00Z</dcterms:created>
  <dcterms:modified xsi:type="dcterms:W3CDTF">2025-09-29T06:48:00Z</dcterms:modified>
  <cp:contentStatus/>
</cp:coreProperties>
</file>