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72CF" w14:textId="77777777" w:rsidR="007430C7" w:rsidRDefault="007430C7" w:rsidP="00C06D34">
      <w:pPr>
        <w:ind w:left="1701" w:hanging="1843"/>
        <w:jc w:val="both"/>
        <w:rPr>
          <w:rFonts w:ascii="Cambria" w:hAnsi="Cambria"/>
          <w:b/>
          <w:noProof/>
          <w:lang w:eastAsia="el-GR"/>
        </w:rPr>
      </w:pPr>
    </w:p>
    <w:p w14:paraId="708139DE" w14:textId="22F8C6B1" w:rsidR="00AD535A" w:rsidRDefault="00AD535A" w:rsidP="009456E9">
      <w:pPr>
        <w:ind w:left="1701" w:hanging="1843"/>
        <w:jc w:val="center"/>
        <w:rPr>
          <w:rFonts w:ascii="Cambria" w:hAnsi="Cambria"/>
          <w:b/>
          <w:noProof/>
          <w:lang w:eastAsia="el-GR"/>
        </w:rPr>
      </w:pPr>
      <w:r>
        <w:rPr>
          <w:rFonts w:ascii="Cambria" w:hAnsi="Cambria"/>
          <w:noProof/>
          <w:sz w:val="24"/>
          <w:szCs w:val="24"/>
        </w:rPr>
        <w:drawing>
          <wp:inline distT="0" distB="0" distL="0" distR="0" wp14:anchorId="3CEB3E8E" wp14:editId="54A08333">
            <wp:extent cx="5274310" cy="943416"/>
            <wp:effectExtent l="0" t="0" r="2540" b="9525"/>
            <wp:docPr id="1963774555"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74555"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943416"/>
                    </a:xfrm>
                    <a:prstGeom prst="rect">
                      <a:avLst/>
                    </a:prstGeom>
                    <a:noFill/>
                  </pic:spPr>
                </pic:pic>
              </a:graphicData>
            </a:graphic>
          </wp:inline>
        </w:drawing>
      </w:r>
    </w:p>
    <w:p w14:paraId="1A040FF3" w14:textId="77777777" w:rsidR="00AD535A" w:rsidRDefault="00AD535A" w:rsidP="00C06D34">
      <w:pPr>
        <w:ind w:left="1701" w:hanging="1843"/>
        <w:jc w:val="both"/>
        <w:rPr>
          <w:rFonts w:ascii="Cambria" w:hAnsi="Cambria"/>
          <w:b/>
          <w:noProof/>
          <w:lang w:eastAsia="el-GR"/>
        </w:rPr>
      </w:pPr>
    </w:p>
    <w:p w14:paraId="79A70816" w14:textId="4863E6DD" w:rsidR="005328ED" w:rsidRPr="002841D9" w:rsidRDefault="00C06D34" w:rsidP="002841D9">
      <w:pPr>
        <w:pStyle w:val="a5"/>
        <w:rPr>
          <w:rFonts w:ascii="Cambria" w:hAnsi="Cambria"/>
          <w:b/>
          <w:bCs/>
          <w:sz w:val="24"/>
          <w:szCs w:val="24"/>
        </w:rPr>
      </w:pPr>
      <w:r w:rsidRPr="002841D9">
        <w:rPr>
          <w:rFonts w:ascii="Cambria" w:hAnsi="Cambria"/>
          <w:b/>
          <w:bCs/>
          <w:noProof/>
          <w:sz w:val="24"/>
          <w:szCs w:val="24"/>
          <w:lang w:eastAsia="el-GR"/>
        </w:rPr>
        <w:t>ΤΙΤΛΟΣ ΠΡΑΞΗΣ:</w:t>
      </w:r>
      <w:r w:rsidRPr="002841D9">
        <w:rPr>
          <w:rFonts w:ascii="Cambria" w:hAnsi="Cambria" w:cs="Arial"/>
          <w:b/>
          <w:bCs/>
          <w:sz w:val="24"/>
          <w:szCs w:val="24"/>
        </w:rPr>
        <w:t xml:space="preserve"> </w:t>
      </w:r>
      <w:r w:rsidR="00AD535A" w:rsidRPr="002841D9">
        <w:rPr>
          <w:rFonts w:ascii="Cambria" w:hAnsi="Cambria"/>
          <w:b/>
          <w:bCs/>
          <w:sz w:val="24"/>
          <w:szCs w:val="24"/>
        </w:rPr>
        <w:t>«ΚΑΤΑΠΟΛΕΜΗΣΗ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ΤΗΣ ΔΥΤΙΚΗΣ ΜΑΚΕΔΟΝΙΑΣ» με κωδικό ΟΠΣ (MIS) 6018536 στο Επιχειρησιακό Πρόγραμμα «Δυτική Μακεδονία 2021 – 2027»</w:t>
      </w:r>
    </w:p>
    <w:p w14:paraId="7B00E975" w14:textId="77777777" w:rsidR="00AD535A" w:rsidRPr="00AD535A" w:rsidRDefault="00AD535A" w:rsidP="00AD535A">
      <w:pPr>
        <w:ind w:left="-142"/>
        <w:rPr>
          <w:rFonts w:ascii="Cambria" w:hAnsi="Cambria"/>
          <w:b/>
          <w:bCs/>
        </w:rPr>
      </w:pPr>
    </w:p>
    <w:p w14:paraId="48B0C9E8" w14:textId="53EBBB54" w:rsidR="00AD535A" w:rsidRPr="002841D9" w:rsidRDefault="00AD535A" w:rsidP="002841D9">
      <w:pPr>
        <w:rPr>
          <w:rFonts w:ascii="Cambria" w:hAnsi="Cambria"/>
        </w:rPr>
      </w:pPr>
      <w:r w:rsidRPr="002841D9">
        <w:rPr>
          <w:rFonts w:ascii="Cambria" w:hAnsi="Cambria"/>
        </w:rPr>
        <w:t>Η Πράξη συγχρηματοδοτείται από το Ευρωπαϊκό Κοινωνικό Ταμείο (ΕΚΤ+) και από Εθνικούς Πόρους</w:t>
      </w:r>
    </w:p>
    <w:p w14:paraId="2652AA31" w14:textId="11060999" w:rsidR="00AD535A" w:rsidRPr="002841D9" w:rsidRDefault="001A1F58" w:rsidP="002841D9">
      <w:pPr>
        <w:rPr>
          <w:rFonts w:ascii="Cambria" w:hAnsi="Cambria"/>
          <w:b/>
          <w:bCs/>
          <w:noProof/>
          <w:sz w:val="20"/>
          <w:szCs w:val="20"/>
          <w:lang w:eastAsia="el-GR"/>
        </w:rPr>
      </w:pPr>
      <w:r w:rsidRPr="002841D9">
        <w:rPr>
          <w:rFonts w:ascii="Cambria" w:hAnsi="Cambria"/>
          <w:b/>
          <w:bCs/>
          <w:noProof/>
          <w:sz w:val="20"/>
          <w:szCs w:val="20"/>
          <w:lang w:eastAsia="el-GR"/>
        </w:rPr>
        <w:t xml:space="preserve">Δικαιούχος της Πράξης είναι η Εθνική Συνομοσπονδία Ατόμων με Αναπηρία (Ε.Σ.Α.μεΑ.) </w:t>
      </w:r>
      <w:r w:rsidR="00AD535A" w:rsidRPr="002841D9">
        <w:rPr>
          <w:rFonts w:ascii="Cambria" w:hAnsi="Cambria"/>
          <w:b/>
          <w:bCs/>
          <w:noProof/>
          <w:sz w:val="20"/>
          <w:szCs w:val="20"/>
          <w:lang w:eastAsia="el-GR"/>
        </w:rPr>
        <w:t>με κωδικό ΟΠΣ (MIS) 6018536 στο Επιχειρησιακό Πρόγραμμα «Δυτική Μακεδονία 2021 – 2027</w:t>
      </w:r>
      <w:r w:rsidR="007B05B5" w:rsidRPr="002841D9">
        <w:rPr>
          <w:rFonts w:ascii="Cambria" w:hAnsi="Cambria"/>
          <w:b/>
          <w:bCs/>
          <w:noProof/>
          <w:sz w:val="20"/>
          <w:szCs w:val="20"/>
          <w:lang w:eastAsia="el-GR"/>
        </w:rPr>
        <w:t>»</w:t>
      </w:r>
      <w:r w:rsidR="00AD535A" w:rsidRPr="002841D9">
        <w:rPr>
          <w:rFonts w:ascii="Cambria" w:hAnsi="Cambria"/>
          <w:b/>
          <w:bCs/>
          <w:noProof/>
          <w:sz w:val="20"/>
          <w:szCs w:val="20"/>
          <w:lang w:eastAsia="el-GR"/>
        </w:rPr>
        <w:t xml:space="preserve">, στην  Προτεραιότητα: «Ενίσχυση της Κοινωνικής Ανάπτυξης της Περιφέρειας (ΕΚΤ+)» </w:t>
      </w:r>
    </w:p>
    <w:p w14:paraId="203AF791" w14:textId="23E78D9B" w:rsidR="00212694" w:rsidRPr="002841D9" w:rsidRDefault="00840C8D" w:rsidP="002841D9">
      <w:pPr>
        <w:rPr>
          <w:rFonts w:ascii="Cambria" w:hAnsi="Cambria" w:cs="Arial"/>
        </w:rPr>
      </w:pPr>
      <w:r w:rsidRPr="002841D9">
        <w:rPr>
          <w:rFonts w:ascii="Cambria" w:hAnsi="Cambria"/>
          <w:bCs/>
        </w:rPr>
        <w:t>Η Πράξη έχει</w:t>
      </w:r>
      <w:r w:rsidRPr="002841D9">
        <w:rPr>
          <w:rFonts w:ascii="Cambria" w:hAnsi="Cambria"/>
          <w:b/>
          <w:bCs/>
        </w:rPr>
        <w:t xml:space="preserve"> ως σκοπό </w:t>
      </w:r>
      <w:r w:rsidR="00212694" w:rsidRPr="002841D9">
        <w:rPr>
          <w:rFonts w:ascii="Cambria" w:hAnsi="Cambria" w:cs="Arial"/>
        </w:rPr>
        <w:t>την καταπολέμηση της διάκρισης και την προώθηση της κοινωνικής ένταξης των ατόμων με αναπηρία, των ατόμων με χρόνιες παθήσεις και των οικογενειών τους που διαβιούν στην Περιφέρεια Δυτικής Μακεδονίας (ομάδα στόχος) μέσω της επίτευξης συγκεκριμένων στόχων όπως: α) ενίσχυση της ικανότητας των στελεχών της περιφερειακής και τοπικής αυτοδιοίκησης να ενσωματώνουν τη δικαιωματική προσέγγιση της αναπηρίας σε στρατηγικές, συμπεριλαμβανομένου του σχεδίου</w:t>
      </w:r>
      <w:r w:rsidR="00A129E7" w:rsidRPr="002841D9">
        <w:rPr>
          <w:rFonts w:ascii="Cambria" w:hAnsi="Cambria" w:cs="Arial"/>
        </w:rPr>
        <w:t xml:space="preserve"> </w:t>
      </w:r>
      <w:r w:rsidR="00212694" w:rsidRPr="002841D9">
        <w:rPr>
          <w:rFonts w:ascii="Cambria" w:hAnsi="Cambria" w:cs="Arial"/>
        </w:rPr>
        <w:t>δίκαιης αναπτυξιακής μετάβασης για τις λιγνιτικές περιοχές της Δυτικής Μακεδονίας, σε τοπικές πολιτικές, μέτρα και προγράμματα,</w:t>
      </w:r>
      <w:r w:rsidR="00A129E7" w:rsidRPr="002841D9">
        <w:rPr>
          <w:rFonts w:ascii="Cambria" w:hAnsi="Cambria" w:cs="Arial"/>
        </w:rPr>
        <w:t xml:space="preserve"> </w:t>
      </w:r>
      <w:r w:rsidR="00212694" w:rsidRPr="002841D9">
        <w:rPr>
          <w:rFonts w:ascii="Cambria" w:hAnsi="Cambria" w:cs="Arial"/>
        </w:rPr>
        <w:t>β) ενδυνάμωση των ατόμων με αναπηρία και χρόνιες παθήσεις, καθώς και ενίσχυση της ικανότητας των τοπικών οργανώσεών</w:t>
      </w:r>
      <w:r w:rsidR="00A129E7" w:rsidRPr="002841D9">
        <w:rPr>
          <w:rFonts w:ascii="Cambria" w:hAnsi="Cambria" w:cs="Arial"/>
        </w:rPr>
        <w:t xml:space="preserve"> </w:t>
      </w:r>
      <w:r w:rsidR="00212694" w:rsidRPr="002841D9">
        <w:rPr>
          <w:rFonts w:ascii="Cambria" w:hAnsi="Cambria" w:cs="Arial"/>
        </w:rPr>
        <w:t>τους μέσω της δικτύωσής τους με άλλα κινήματα, γ) εντοπισμός των διακρίσεων που βιώνουν τα άτομα με αναπηρία και</w:t>
      </w:r>
      <w:r w:rsidR="00A129E7" w:rsidRPr="002841D9">
        <w:rPr>
          <w:rFonts w:ascii="Cambria" w:hAnsi="Cambria" w:cs="Arial"/>
        </w:rPr>
        <w:t xml:space="preserve"> </w:t>
      </w:r>
      <w:r w:rsidR="00212694" w:rsidRPr="002841D9">
        <w:rPr>
          <w:rFonts w:ascii="Cambria" w:hAnsi="Cambria" w:cs="Arial"/>
        </w:rPr>
        <w:t>καταπολέμηση των εσφαλμένων στερεοτυπικών αντιλήψεων σε βάρος τους και δ) διευκόλυνση της πρόσβασης των ατόμων με</w:t>
      </w:r>
      <w:r w:rsidR="00A129E7" w:rsidRPr="002841D9">
        <w:rPr>
          <w:rFonts w:ascii="Cambria" w:hAnsi="Cambria" w:cs="Arial"/>
        </w:rPr>
        <w:t xml:space="preserve"> </w:t>
      </w:r>
      <w:r w:rsidR="00212694" w:rsidRPr="002841D9">
        <w:rPr>
          <w:rFonts w:ascii="Cambria" w:hAnsi="Cambria" w:cs="Arial"/>
        </w:rPr>
        <w:t>αναπηρία και χρόνιες παθήσεις στην αγορά εργασίας.</w:t>
      </w:r>
    </w:p>
    <w:p w14:paraId="11384388" w14:textId="244F671A" w:rsidR="00212694" w:rsidRPr="002841D9" w:rsidRDefault="00212694" w:rsidP="002841D9">
      <w:pPr>
        <w:rPr>
          <w:rFonts w:ascii="Cambria" w:hAnsi="Cambria" w:cs="Arial"/>
        </w:rPr>
      </w:pPr>
      <w:r w:rsidRPr="002841D9">
        <w:rPr>
          <w:rFonts w:ascii="Cambria" w:hAnsi="Cambria" w:cs="Arial"/>
          <w:b/>
          <w:bCs/>
        </w:rPr>
        <w:t>Ενέργειες ανά στόχο</w:t>
      </w:r>
      <w:r w:rsidRPr="002841D9">
        <w:rPr>
          <w:rFonts w:ascii="Cambria" w:hAnsi="Cambria" w:cs="Arial"/>
        </w:rPr>
        <w:t>:</w:t>
      </w:r>
    </w:p>
    <w:p w14:paraId="36836151" w14:textId="34D493BD" w:rsidR="00212694" w:rsidRPr="002841D9" w:rsidRDefault="00212694" w:rsidP="002841D9">
      <w:pPr>
        <w:rPr>
          <w:rFonts w:ascii="Cambria" w:hAnsi="Cambria" w:cs="Arial"/>
        </w:rPr>
      </w:pPr>
      <w:r w:rsidRPr="002841D9">
        <w:rPr>
          <w:rFonts w:ascii="Cambria" w:hAnsi="Cambria" w:cs="Arial"/>
        </w:rPr>
        <w:t>Ως προς τον στόχο α):</w:t>
      </w:r>
    </w:p>
    <w:p w14:paraId="547FC8BC" w14:textId="23885FFB" w:rsidR="00212694" w:rsidRPr="002841D9" w:rsidRDefault="00212694" w:rsidP="002841D9">
      <w:pPr>
        <w:rPr>
          <w:rFonts w:ascii="Cambria" w:hAnsi="Cambria" w:cs="Arial"/>
        </w:rPr>
      </w:pPr>
      <w:r w:rsidRPr="002841D9">
        <w:rPr>
          <w:rFonts w:ascii="Cambria" w:hAnsi="Cambria" w:cs="Arial"/>
        </w:rPr>
        <w:t xml:space="preserve">- Υλοποίηση τεχνικών ημερίδων με στελέχη της περιφερειακής και τοπικής </w:t>
      </w:r>
      <w:r w:rsidR="00DA51AA" w:rsidRPr="002841D9">
        <w:rPr>
          <w:rFonts w:ascii="Cambria" w:hAnsi="Cambria" w:cs="Arial"/>
        </w:rPr>
        <w:t>α</w:t>
      </w:r>
      <w:r w:rsidRPr="002841D9">
        <w:rPr>
          <w:rFonts w:ascii="Cambria" w:hAnsi="Cambria" w:cs="Arial"/>
        </w:rPr>
        <w:t>υτοδιοίκησης που απασχολούνται στον σχεδιασμό</w:t>
      </w:r>
      <w:r w:rsidR="00A129E7" w:rsidRPr="002841D9">
        <w:rPr>
          <w:rFonts w:ascii="Cambria" w:hAnsi="Cambria" w:cs="Arial"/>
        </w:rPr>
        <w:t xml:space="preserve"> </w:t>
      </w:r>
      <w:r w:rsidRPr="002841D9">
        <w:rPr>
          <w:rFonts w:ascii="Cambria" w:hAnsi="Cambria" w:cs="Arial"/>
        </w:rPr>
        <w:t>και την εφαρμογή αναπτυξιακών και κοινωνικών πολιτικών, μέτρων και προγραμμάτων.</w:t>
      </w:r>
    </w:p>
    <w:p w14:paraId="4544BA6D" w14:textId="77777777" w:rsidR="00212694" w:rsidRPr="002841D9" w:rsidRDefault="00212694" w:rsidP="002841D9">
      <w:pPr>
        <w:rPr>
          <w:rFonts w:ascii="Cambria" w:hAnsi="Cambria" w:cs="Arial"/>
        </w:rPr>
      </w:pPr>
      <w:r w:rsidRPr="002841D9">
        <w:rPr>
          <w:rFonts w:ascii="Cambria" w:hAnsi="Cambria" w:cs="Arial"/>
        </w:rPr>
        <w:t>- Ενημέρωση αιρετών στελεχών της περιφερειακής και τοπικής αυτοδιοίκησης στη δικαιωματική προσέγγιση της αναπηρίας.</w:t>
      </w:r>
    </w:p>
    <w:p w14:paraId="2D89F36D" w14:textId="75C0E195" w:rsidR="00212694" w:rsidRPr="002841D9" w:rsidRDefault="00212694" w:rsidP="002841D9">
      <w:pPr>
        <w:rPr>
          <w:rFonts w:ascii="Cambria" w:hAnsi="Cambria" w:cs="Arial"/>
        </w:rPr>
      </w:pPr>
      <w:r w:rsidRPr="002841D9">
        <w:rPr>
          <w:rFonts w:ascii="Cambria" w:hAnsi="Cambria" w:cs="Arial"/>
        </w:rPr>
        <w:t>- Εκπόνηση Μελέτης για τις επιπτώσεις της μετάβασης στη μεταλιγνιτική εποχή για τα άτομα με αναπηρίες, χρόνιες παθήσεις και</w:t>
      </w:r>
      <w:r w:rsidR="008E2D72" w:rsidRPr="002841D9">
        <w:rPr>
          <w:rFonts w:ascii="Cambria" w:hAnsi="Cambria" w:cs="Arial"/>
        </w:rPr>
        <w:t xml:space="preserve"> </w:t>
      </w:r>
      <w:r w:rsidRPr="002841D9">
        <w:rPr>
          <w:rFonts w:ascii="Cambria" w:hAnsi="Cambria" w:cs="Arial"/>
        </w:rPr>
        <w:t>στις οικογένειές τους που διαβιούν στην Περιφέρεια της Δυτικής Μακεδονίας.</w:t>
      </w:r>
    </w:p>
    <w:p w14:paraId="204C5B9D" w14:textId="70E5AA48" w:rsidR="00212694" w:rsidRPr="002841D9" w:rsidRDefault="00212694" w:rsidP="002841D9">
      <w:pPr>
        <w:rPr>
          <w:rFonts w:ascii="Cambria" w:hAnsi="Cambria" w:cs="Arial"/>
        </w:rPr>
      </w:pPr>
      <w:r w:rsidRPr="002841D9">
        <w:rPr>
          <w:rFonts w:ascii="Cambria" w:hAnsi="Cambria" w:cs="Arial"/>
        </w:rPr>
        <w:t>Ως προς τον στόχο β):</w:t>
      </w:r>
    </w:p>
    <w:p w14:paraId="2C6366A9" w14:textId="77777777" w:rsidR="00212694" w:rsidRPr="002841D9" w:rsidRDefault="00212694" w:rsidP="002841D9">
      <w:pPr>
        <w:rPr>
          <w:rFonts w:ascii="Cambria" w:hAnsi="Cambria" w:cs="Arial"/>
        </w:rPr>
      </w:pPr>
      <w:r w:rsidRPr="002841D9">
        <w:rPr>
          <w:rFonts w:ascii="Cambria" w:hAnsi="Cambria" w:cs="Arial"/>
        </w:rPr>
        <w:lastRenderedPageBreak/>
        <w:t>- Υλοποίηση εκστρατείας ενημέρωσης των ατόμων με αναπηρία και χρόνιες παθήσεις για τα δικαιώματά τους.</w:t>
      </w:r>
    </w:p>
    <w:p w14:paraId="75CAE332" w14:textId="4163496B" w:rsidR="00212694" w:rsidRPr="002841D9" w:rsidRDefault="00212694" w:rsidP="002841D9">
      <w:pPr>
        <w:rPr>
          <w:rFonts w:ascii="Cambria" w:hAnsi="Cambria" w:cs="Arial"/>
        </w:rPr>
      </w:pPr>
      <w:r w:rsidRPr="002841D9">
        <w:rPr>
          <w:rFonts w:ascii="Cambria" w:hAnsi="Cambria" w:cs="Arial"/>
        </w:rPr>
        <w:t>- Δικτύωση της Περιφερειακής Ομοσπονδίας Ατόμων με Αναπηρία Δυτικής Μακεδονίας με άλλα κινήματα της Περιφέρειας</w:t>
      </w:r>
      <w:r w:rsidR="00B246E3" w:rsidRPr="002841D9">
        <w:rPr>
          <w:rFonts w:ascii="Cambria" w:hAnsi="Cambria" w:cs="Arial"/>
        </w:rPr>
        <w:t xml:space="preserve"> </w:t>
      </w:r>
      <w:r w:rsidRPr="002841D9">
        <w:rPr>
          <w:rFonts w:ascii="Cambria" w:hAnsi="Cambria" w:cs="Arial"/>
        </w:rPr>
        <w:t>Δυτικής Μακεδονίας .</w:t>
      </w:r>
    </w:p>
    <w:p w14:paraId="037AE230" w14:textId="77777777" w:rsidR="00212694" w:rsidRPr="002841D9" w:rsidRDefault="00212694" w:rsidP="002841D9">
      <w:pPr>
        <w:rPr>
          <w:rFonts w:ascii="Cambria" w:hAnsi="Cambria" w:cs="Arial"/>
        </w:rPr>
      </w:pPr>
      <w:r w:rsidRPr="002841D9">
        <w:rPr>
          <w:rFonts w:ascii="Cambria" w:hAnsi="Cambria" w:cs="Arial"/>
        </w:rPr>
        <w:t>- Δικτύωση των νέων με αναπηρία.</w:t>
      </w:r>
    </w:p>
    <w:p w14:paraId="1C440A01" w14:textId="190477BF" w:rsidR="00212694" w:rsidRPr="002841D9" w:rsidRDefault="00212694" w:rsidP="002841D9">
      <w:pPr>
        <w:rPr>
          <w:rFonts w:ascii="Cambria" w:hAnsi="Cambria" w:cs="Arial"/>
        </w:rPr>
      </w:pPr>
      <w:r w:rsidRPr="002841D9">
        <w:rPr>
          <w:rFonts w:ascii="Cambria" w:hAnsi="Cambria" w:cs="Arial"/>
        </w:rPr>
        <w:t>Ως προς τον στόχο γ):</w:t>
      </w:r>
    </w:p>
    <w:p w14:paraId="79409589" w14:textId="77777777" w:rsidR="00212694" w:rsidRPr="002841D9" w:rsidRDefault="00212694" w:rsidP="002841D9">
      <w:pPr>
        <w:rPr>
          <w:rFonts w:ascii="Cambria" w:hAnsi="Cambria" w:cs="Arial"/>
        </w:rPr>
      </w:pPr>
      <w:r w:rsidRPr="002841D9">
        <w:rPr>
          <w:rFonts w:ascii="Cambria" w:hAnsi="Cambria" w:cs="Arial"/>
        </w:rPr>
        <w:t>- Εκπόνηση έρευνας κοινής γνώμης για τις διακρίσεις που βιώνουν τα άτομα με αναπηρία στην Περιφέρεια Δυτικής Μακεδονίας.</w:t>
      </w:r>
    </w:p>
    <w:p w14:paraId="7DA46440" w14:textId="12BB2293" w:rsidR="00212694" w:rsidRPr="002841D9" w:rsidRDefault="00212694" w:rsidP="002841D9">
      <w:pPr>
        <w:rPr>
          <w:rFonts w:ascii="Cambria" w:hAnsi="Cambria" w:cs="Arial"/>
        </w:rPr>
      </w:pPr>
      <w:r w:rsidRPr="002841D9">
        <w:rPr>
          <w:rFonts w:ascii="Cambria" w:hAnsi="Cambria" w:cs="Arial"/>
        </w:rPr>
        <w:t>- Υλοποίηση σεμιναρίων σε στελέχη των τοπικών μέσων μαζικής ενημέρωσης με στόχο την καταπολέμηση στερεοτυπικών</w:t>
      </w:r>
      <w:r w:rsidR="001D32D6" w:rsidRPr="002841D9">
        <w:rPr>
          <w:rFonts w:ascii="Cambria" w:hAnsi="Cambria" w:cs="Arial"/>
        </w:rPr>
        <w:t xml:space="preserve"> </w:t>
      </w:r>
      <w:r w:rsidRPr="002841D9">
        <w:rPr>
          <w:rFonts w:ascii="Cambria" w:hAnsi="Cambria" w:cs="Arial"/>
        </w:rPr>
        <w:t>αντιλήψεων και προκαταλήψεων σε βάρος των ατόμων με αναπηρία, των ατόμων με χρόνιες παθήσεις και των οικογενειών τους.</w:t>
      </w:r>
    </w:p>
    <w:p w14:paraId="6DF3E3AE" w14:textId="5B91F4D6" w:rsidR="00212694" w:rsidRPr="002841D9" w:rsidRDefault="00212694" w:rsidP="002841D9">
      <w:pPr>
        <w:rPr>
          <w:rFonts w:ascii="Cambria" w:hAnsi="Cambria" w:cs="Arial"/>
        </w:rPr>
      </w:pPr>
      <w:r w:rsidRPr="002841D9">
        <w:rPr>
          <w:rFonts w:ascii="Cambria" w:hAnsi="Cambria" w:cs="Arial"/>
        </w:rPr>
        <w:t>- Υλοποίηση Fora προώθησης της απασχόλησης για την καταπολέμηση των εσφαλμένων στερεοτυπικών αντιλήψεων των</w:t>
      </w:r>
      <w:r w:rsidR="001D32D6" w:rsidRPr="002841D9">
        <w:rPr>
          <w:rFonts w:ascii="Cambria" w:hAnsi="Cambria" w:cs="Arial"/>
        </w:rPr>
        <w:t xml:space="preserve"> </w:t>
      </w:r>
      <w:r w:rsidRPr="002841D9">
        <w:rPr>
          <w:rFonts w:ascii="Cambria" w:hAnsi="Cambria" w:cs="Arial"/>
        </w:rPr>
        <w:t>εργοδοτών, των εργοδοτικών φορέων κ.α. σε βάρος των ατόμων με αναπηρία και χρόνιες παθήσεις.</w:t>
      </w:r>
    </w:p>
    <w:p w14:paraId="40727429" w14:textId="77777777" w:rsidR="00212694" w:rsidRPr="002841D9" w:rsidRDefault="00212694" w:rsidP="002841D9">
      <w:pPr>
        <w:rPr>
          <w:rFonts w:ascii="Cambria" w:hAnsi="Cambria" w:cs="Arial"/>
        </w:rPr>
      </w:pPr>
      <w:r w:rsidRPr="002841D9">
        <w:rPr>
          <w:rFonts w:ascii="Cambria" w:hAnsi="Cambria" w:cs="Arial"/>
        </w:rPr>
        <w:t>Ως προς τον στόχο δ):</w:t>
      </w:r>
    </w:p>
    <w:p w14:paraId="2C60DF4C" w14:textId="77777777" w:rsidR="00C60297" w:rsidRPr="002841D9" w:rsidRDefault="00212694" w:rsidP="002841D9">
      <w:pPr>
        <w:rPr>
          <w:rFonts w:ascii="Cambria" w:hAnsi="Cambria" w:cs="Arial"/>
        </w:rPr>
      </w:pPr>
      <w:r w:rsidRPr="002841D9">
        <w:rPr>
          <w:rFonts w:ascii="Cambria" w:hAnsi="Cambria" w:cs="Arial"/>
        </w:rPr>
        <w:t>- Παροχή προγράμματος συμβουλευτικής, κατάρτισης, πρακτικής άσκησης και πιστοποίησης σε είκοσι (20) άτομα με αναπηρία</w:t>
      </w:r>
      <w:r w:rsidR="008E1DFA" w:rsidRPr="002841D9">
        <w:rPr>
          <w:rFonts w:ascii="Cambria" w:hAnsi="Cambria" w:cs="Arial"/>
        </w:rPr>
        <w:t xml:space="preserve"> </w:t>
      </w:r>
      <w:r w:rsidRPr="002841D9">
        <w:rPr>
          <w:rFonts w:ascii="Cambria" w:hAnsi="Cambria" w:cs="Arial"/>
        </w:rPr>
        <w:t>ή/και χρόνιες παθήσεις</w:t>
      </w:r>
      <w:r w:rsidR="00C60297" w:rsidRPr="002841D9">
        <w:rPr>
          <w:rFonts w:ascii="Cambria" w:hAnsi="Cambria" w:cs="Arial"/>
        </w:rPr>
        <w:t>.</w:t>
      </w:r>
    </w:p>
    <w:p w14:paraId="73A284C1" w14:textId="1B6330F1" w:rsidR="00642B9F" w:rsidRDefault="00642B9F" w:rsidP="00C60297">
      <w:pPr>
        <w:autoSpaceDE w:val="0"/>
        <w:autoSpaceDN w:val="0"/>
        <w:adjustRightInd w:val="0"/>
        <w:spacing w:after="0" w:line="240" w:lineRule="auto"/>
        <w:jc w:val="both"/>
        <w:rPr>
          <w:rFonts w:ascii="Cambria" w:hAnsi="Cambria" w:cs="Arial"/>
        </w:rPr>
      </w:pPr>
    </w:p>
    <w:p w14:paraId="37A60873" w14:textId="47D0D4B3" w:rsidR="003E0458" w:rsidRDefault="00BF1E22" w:rsidP="00BF1E22">
      <w:pPr>
        <w:widowControl w:val="0"/>
        <w:autoSpaceDE w:val="0"/>
        <w:autoSpaceDN w:val="0"/>
        <w:adjustRightInd w:val="0"/>
        <w:spacing w:before="120" w:after="120"/>
        <w:ind w:right="-1"/>
        <w:jc w:val="both"/>
        <w:rPr>
          <w:rFonts w:ascii="Cambria" w:hAnsi="Cambria" w:cs="Arial"/>
          <w:b/>
          <w:bCs/>
        </w:rPr>
      </w:pPr>
      <w:r w:rsidRPr="005A58F1">
        <w:rPr>
          <w:rFonts w:ascii="Cambria" w:hAnsi="Cambria" w:cs="Arial"/>
          <w:b/>
          <w:bCs/>
        </w:rPr>
        <w:t>Η Πράξη</w:t>
      </w:r>
      <w:r w:rsidR="009D4877">
        <w:rPr>
          <w:rFonts w:ascii="Cambria" w:hAnsi="Cambria" w:cs="Arial"/>
          <w:b/>
          <w:bCs/>
        </w:rPr>
        <w:t xml:space="preserve"> περιλαμβάνει τα εξής Υποέργα</w:t>
      </w:r>
      <w:r w:rsidR="001C3FD1" w:rsidRPr="005A58F1">
        <w:rPr>
          <w:rFonts w:ascii="Cambria" w:hAnsi="Cambria" w:cs="Arial"/>
          <w:b/>
          <w:bCs/>
        </w:rPr>
        <w:t>:</w:t>
      </w:r>
    </w:p>
    <w:tbl>
      <w:tblPr>
        <w:tblStyle w:val="a3"/>
        <w:tblW w:w="8477" w:type="dxa"/>
        <w:tblInd w:w="-5" w:type="dxa"/>
        <w:tblLook w:val="04A0" w:firstRow="1" w:lastRow="0" w:firstColumn="1" w:lastColumn="0" w:noHBand="0" w:noVBand="1"/>
      </w:tblPr>
      <w:tblGrid>
        <w:gridCol w:w="1673"/>
        <w:gridCol w:w="6804"/>
      </w:tblGrid>
      <w:tr w:rsidR="00412E30" w:rsidRPr="009B0751" w14:paraId="3E9404BA" w14:textId="77777777" w:rsidTr="00C35314">
        <w:tc>
          <w:tcPr>
            <w:tcW w:w="1673" w:type="dxa"/>
            <w:shd w:val="clear" w:color="auto" w:fill="D9D9D9" w:themeFill="background1" w:themeFillShade="D9"/>
          </w:tcPr>
          <w:p w14:paraId="1111865E" w14:textId="77777777" w:rsidR="00412E30" w:rsidRPr="00D4647C" w:rsidRDefault="00412E30" w:rsidP="00C35314">
            <w:pPr>
              <w:rPr>
                <w:rFonts w:ascii="Cambria" w:hAnsi="Cambria"/>
                <w:b/>
                <w:sz w:val="22"/>
                <w:szCs w:val="22"/>
                <w:lang w:eastAsia="en-US"/>
              </w:rPr>
            </w:pPr>
            <w:r w:rsidRPr="00D4647C">
              <w:rPr>
                <w:rFonts w:ascii="Cambria" w:hAnsi="Cambria"/>
                <w:b/>
                <w:sz w:val="22"/>
                <w:szCs w:val="22"/>
                <w:lang w:eastAsia="en-US"/>
              </w:rPr>
              <w:t>Α/Α</w:t>
            </w:r>
          </w:p>
        </w:tc>
        <w:tc>
          <w:tcPr>
            <w:tcW w:w="6804" w:type="dxa"/>
            <w:shd w:val="clear" w:color="auto" w:fill="D9D9D9" w:themeFill="background1" w:themeFillShade="D9"/>
          </w:tcPr>
          <w:p w14:paraId="685C78D2" w14:textId="7E3B4B55" w:rsidR="00412E30" w:rsidRPr="00D4647C" w:rsidRDefault="00412E30" w:rsidP="00C35314">
            <w:pPr>
              <w:rPr>
                <w:rFonts w:ascii="Cambria" w:hAnsi="Cambria"/>
                <w:b/>
                <w:sz w:val="22"/>
                <w:szCs w:val="22"/>
                <w:highlight w:val="yellow"/>
                <w:lang w:eastAsia="en-US"/>
              </w:rPr>
            </w:pPr>
            <w:r w:rsidRPr="00D4647C">
              <w:rPr>
                <w:rFonts w:ascii="Cambria" w:hAnsi="Cambria"/>
                <w:b/>
                <w:sz w:val="22"/>
                <w:szCs w:val="22"/>
                <w:lang w:eastAsia="en-US"/>
              </w:rPr>
              <w:t xml:space="preserve">ΤΙΤΛΟΣ ΥΠΟΕΡΓΟΥ </w:t>
            </w:r>
          </w:p>
        </w:tc>
      </w:tr>
      <w:tr w:rsidR="00412E30" w:rsidRPr="009B0751" w14:paraId="3600CE3A" w14:textId="77777777" w:rsidTr="00C35314">
        <w:tc>
          <w:tcPr>
            <w:tcW w:w="1673" w:type="dxa"/>
          </w:tcPr>
          <w:p w14:paraId="4F8637C0" w14:textId="77777777" w:rsidR="00412E30" w:rsidRPr="00D4647C" w:rsidRDefault="00412E30" w:rsidP="00C35314">
            <w:pPr>
              <w:spacing w:before="60" w:after="60"/>
              <w:rPr>
                <w:rFonts w:ascii="Cambria" w:hAnsi="Cambria"/>
                <w:b/>
                <w:sz w:val="22"/>
                <w:szCs w:val="22"/>
                <w:lang w:eastAsia="en-US"/>
              </w:rPr>
            </w:pPr>
            <w:r w:rsidRPr="00D4647C">
              <w:rPr>
                <w:rFonts w:ascii="Cambria" w:hAnsi="Cambria"/>
                <w:b/>
                <w:sz w:val="22"/>
                <w:szCs w:val="22"/>
                <w:lang w:eastAsia="en-US"/>
              </w:rPr>
              <w:t>ΥΠΟΕΡΓΟ 1</w:t>
            </w:r>
          </w:p>
        </w:tc>
        <w:tc>
          <w:tcPr>
            <w:tcW w:w="6804" w:type="dxa"/>
          </w:tcPr>
          <w:p w14:paraId="6B1594F8" w14:textId="392ABA10" w:rsidR="00412E30" w:rsidRPr="00D4647C" w:rsidRDefault="00412E30" w:rsidP="00C35314">
            <w:pPr>
              <w:spacing w:before="60" w:after="60"/>
              <w:rPr>
                <w:rFonts w:ascii="Cambria" w:hAnsi="Cambria"/>
                <w:sz w:val="22"/>
                <w:szCs w:val="22"/>
                <w:lang w:eastAsia="en-US"/>
              </w:rPr>
            </w:pPr>
            <w:r w:rsidRPr="00D4647C">
              <w:rPr>
                <w:rFonts w:ascii="Cambria" w:hAnsi="Cambria"/>
                <w:b/>
                <w:bCs/>
                <w:sz w:val="22"/>
                <w:szCs w:val="22"/>
              </w:rPr>
              <w:t>«</w:t>
            </w:r>
            <w:r w:rsidRPr="00D4647C">
              <w:rPr>
                <w:rFonts w:ascii="Cambria" w:eastAsia="Calibri" w:hAnsi="Cambria"/>
                <w:b/>
                <w:sz w:val="22"/>
                <w:szCs w:val="22"/>
              </w:rPr>
              <w:t xml:space="preserve"> ΔΙΚΑΙΩΜΑΤΑ – ΕΝΔΥΝΑΜΩΣΗ – ΑΡΣΗ ΤΩΝ ΔΙΑΚΡΙΣΕΩΝ ΚΑΙ ΤΩΝ ΣΤΕΡΕΟΤΥΠΩΝ ΣΕ ΒΑΡΟΣ ΤΩΝ ΑΤΟΜΩΝ ΜΕ ΑΝΑΠΗΡΙΑ</w:t>
            </w:r>
            <w:r w:rsidRPr="00D4647C">
              <w:rPr>
                <w:rFonts w:ascii="Cambria" w:hAnsi="Cambria"/>
                <w:b/>
                <w:bCs/>
                <w:sz w:val="22"/>
                <w:szCs w:val="22"/>
              </w:rPr>
              <w:t>»</w:t>
            </w:r>
            <w:r w:rsidR="00E775F1" w:rsidRPr="00D4647C">
              <w:rPr>
                <w:rFonts w:ascii="Cambria" w:hAnsi="Cambria"/>
                <w:b/>
                <w:bCs/>
                <w:sz w:val="22"/>
                <w:szCs w:val="22"/>
              </w:rPr>
              <w:t xml:space="preserve">. </w:t>
            </w:r>
            <w:r w:rsidR="00FE4A06" w:rsidRPr="00D4647C">
              <w:rPr>
                <w:rFonts w:ascii="Cambria" w:hAnsi="Cambria"/>
                <w:sz w:val="22"/>
                <w:szCs w:val="22"/>
              </w:rPr>
              <w:t>(</w:t>
            </w:r>
            <w:r w:rsidR="00FF23AA">
              <w:rPr>
                <w:rFonts w:ascii="Cambria" w:hAnsi="Cambria"/>
                <w:sz w:val="22"/>
                <w:szCs w:val="22"/>
              </w:rPr>
              <w:t>Αυτεπιστασία</w:t>
            </w:r>
            <w:r w:rsidR="00FE4A06" w:rsidRPr="00D4647C">
              <w:rPr>
                <w:rFonts w:ascii="Cambria" w:hAnsi="Cambria"/>
                <w:sz w:val="22"/>
                <w:szCs w:val="22"/>
              </w:rPr>
              <w:t>)</w:t>
            </w:r>
          </w:p>
        </w:tc>
      </w:tr>
      <w:tr w:rsidR="00412E30" w:rsidRPr="009B0751" w14:paraId="295185A3" w14:textId="77777777" w:rsidTr="00C35314">
        <w:tc>
          <w:tcPr>
            <w:tcW w:w="1673" w:type="dxa"/>
          </w:tcPr>
          <w:p w14:paraId="65172337" w14:textId="77777777" w:rsidR="00412E30" w:rsidRPr="00D4647C" w:rsidRDefault="00412E30" w:rsidP="00C35314">
            <w:pPr>
              <w:spacing w:before="60" w:after="60"/>
              <w:rPr>
                <w:rFonts w:ascii="Cambria" w:hAnsi="Cambria"/>
                <w:b/>
                <w:sz w:val="22"/>
                <w:szCs w:val="22"/>
                <w:lang w:eastAsia="en-US"/>
              </w:rPr>
            </w:pPr>
            <w:r w:rsidRPr="00D4647C">
              <w:rPr>
                <w:rFonts w:ascii="Cambria" w:hAnsi="Cambria"/>
                <w:b/>
                <w:sz w:val="22"/>
                <w:szCs w:val="22"/>
                <w:lang w:eastAsia="en-US"/>
              </w:rPr>
              <w:t>ΥΠΟΕΡΓΟ 2</w:t>
            </w:r>
          </w:p>
        </w:tc>
        <w:tc>
          <w:tcPr>
            <w:tcW w:w="6804" w:type="dxa"/>
          </w:tcPr>
          <w:p w14:paraId="43AEF09D" w14:textId="469C48D8" w:rsidR="00412E30" w:rsidRPr="00D4647C" w:rsidRDefault="00412E30" w:rsidP="00C35314">
            <w:pPr>
              <w:spacing w:before="60" w:after="60"/>
              <w:rPr>
                <w:rFonts w:ascii="Cambria" w:hAnsi="Cambria"/>
                <w:sz w:val="22"/>
                <w:szCs w:val="22"/>
                <w:highlight w:val="yellow"/>
                <w:lang w:eastAsia="en-US"/>
              </w:rPr>
            </w:pPr>
            <w:r w:rsidRPr="00D4647C">
              <w:rPr>
                <w:rFonts w:ascii="Cambria" w:hAnsi="Cambria"/>
                <w:b/>
                <w:bCs/>
                <w:sz w:val="22"/>
                <w:szCs w:val="22"/>
              </w:rPr>
              <w:t>«</w:t>
            </w:r>
            <w:bookmarkStart w:id="0" w:name="_Hlk69478586"/>
            <w:r w:rsidRPr="00D4647C">
              <w:rPr>
                <w:rFonts w:ascii="Cambria" w:hAnsi="Cambria"/>
                <w:b/>
                <w:bCs/>
                <w:sz w:val="22"/>
                <w:szCs w:val="22"/>
              </w:rPr>
              <w:t>ΠΡΟΓΡΑΜΜΑ ΣΥΜΒΟΥΛΕΥΤΙΚΗΣ, ΚΑΤΑΡΤΙΣΗΣ, ΠΡΑΚΤΙΚΗΣ ΑΣΚΗΣΗΣ ΚΑΙ ΠΙΣΤΟΠΟΙΗΣΗΣ</w:t>
            </w:r>
            <w:bookmarkEnd w:id="0"/>
            <w:r w:rsidRPr="00D4647C">
              <w:rPr>
                <w:rFonts w:ascii="Cambria" w:hAnsi="Cambria"/>
                <w:b/>
                <w:bCs/>
                <w:sz w:val="22"/>
                <w:szCs w:val="22"/>
              </w:rPr>
              <w:t>»</w:t>
            </w:r>
            <w:r w:rsidR="00FF23AA">
              <w:rPr>
                <w:rFonts w:ascii="Cambria" w:hAnsi="Cambria"/>
                <w:b/>
                <w:bCs/>
                <w:sz w:val="22"/>
                <w:szCs w:val="22"/>
              </w:rPr>
              <w:t xml:space="preserve"> </w:t>
            </w:r>
            <w:r w:rsidR="00C33913" w:rsidRPr="00D4647C">
              <w:rPr>
                <w:rFonts w:ascii="Cambria" w:hAnsi="Cambria" w:cstheme="minorHAnsi"/>
                <w:sz w:val="22"/>
                <w:szCs w:val="22"/>
              </w:rPr>
              <w:t>(ανάθεση κατόπιν διαγωνισμού σύμφωνα με τα όσα προβλέπονται στις διατάξεις του Νόμου 4412/2016 όπως τροποποιήθηκε και ισχύει)</w:t>
            </w:r>
          </w:p>
        </w:tc>
      </w:tr>
      <w:tr w:rsidR="00412E30" w:rsidRPr="009B0751" w14:paraId="3755E84B" w14:textId="77777777" w:rsidTr="00C35314">
        <w:tc>
          <w:tcPr>
            <w:tcW w:w="1673" w:type="dxa"/>
          </w:tcPr>
          <w:p w14:paraId="6CBC64BF" w14:textId="77777777" w:rsidR="00412E30" w:rsidRPr="00D4647C" w:rsidRDefault="00412E30" w:rsidP="00C35314">
            <w:pPr>
              <w:spacing w:before="60" w:after="60"/>
              <w:rPr>
                <w:rFonts w:ascii="Cambria" w:hAnsi="Cambria"/>
                <w:b/>
                <w:sz w:val="22"/>
                <w:szCs w:val="22"/>
                <w:lang w:eastAsia="en-US"/>
              </w:rPr>
            </w:pPr>
            <w:r w:rsidRPr="00D4647C">
              <w:rPr>
                <w:rFonts w:ascii="Cambria" w:hAnsi="Cambria"/>
                <w:b/>
                <w:sz w:val="22"/>
                <w:szCs w:val="22"/>
                <w:lang w:eastAsia="en-US"/>
              </w:rPr>
              <w:t>ΥΠΟΕΡΓΟ 3</w:t>
            </w:r>
          </w:p>
        </w:tc>
        <w:tc>
          <w:tcPr>
            <w:tcW w:w="6804" w:type="dxa"/>
          </w:tcPr>
          <w:p w14:paraId="1271EB20" w14:textId="7B2A13FA" w:rsidR="00412E30" w:rsidRPr="00D4647C" w:rsidRDefault="00412E30" w:rsidP="00C35314">
            <w:pPr>
              <w:spacing w:before="60" w:after="60"/>
              <w:rPr>
                <w:rFonts w:ascii="Cambria" w:hAnsi="Cambria"/>
                <w:b/>
                <w:sz w:val="22"/>
                <w:szCs w:val="22"/>
                <w:highlight w:val="yellow"/>
                <w:lang w:eastAsia="en-US"/>
              </w:rPr>
            </w:pPr>
            <w:r w:rsidRPr="00D4647C">
              <w:rPr>
                <w:rFonts w:ascii="Cambria" w:hAnsi="Cambria"/>
                <w:b/>
                <w:sz w:val="22"/>
                <w:szCs w:val="22"/>
                <w:lang w:eastAsia="en-US"/>
              </w:rPr>
              <w:t>«</w:t>
            </w:r>
            <w:r w:rsidRPr="00D4647C">
              <w:rPr>
                <w:rFonts w:ascii="Cambria" w:hAnsi="Cambria"/>
                <w:b/>
                <w:bCs/>
                <w:sz w:val="22"/>
                <w:szCs w:val="22"/>
                <w:lang w:eastAsia="en-US"/>
              </w:rPr>
              <w:t>ΕΚΤΥΠΩΣΗ, ΑΝΑΠΑΡΑΓΩΓΗ ΚΑΙ ΠΡΟΣΒΑΣΙΜΟΠΟΙΗΣΗ ΤΩΝ ΥΠΟΣΤΗΡΙΚΤΙΚΩΝ ΕΡΓΑΛΕΙΩΝ</w:t>
            </w:r>
            <w:r w:rsidRPr="00D4647C">
              <w:rPr>
                <w:rFonts w:ascii="Cambria" w:hAnsi="Cambria"/>
                <w:b/>
                <w:sz w:val="22"/>
                <w:szCs w:val="22"/>
                <w:lang w:eastAsia="en-US"/>
              </w:rPr>
              <w:t>»</w:t>
            </w:r>
            <w:r w:rsidR="00FF23AA">
              <w:rPr>
                <w:rFonts w:ascii="Cambria" w:hAnsi="Cambria"/>
                <w:b/>
                <w:sz w:val="22"/>
                <w:szCs w:val="22"/>
                <w:lang w:eastAsia="en-US"/>
              </w:rPr>
              <w:t xml:space="preserve"> </w:t>
            </w:r>
            <w:r w:rsidR="00503045" w:rsidRPr="00D4647C">
              <w:rPr>
                <w:rFonts w:ascii="Cambria" w:hAnsi="Cambria"/>
                <w:sz w:val="22"/>
                <w:szCs w:val="22"/>
              </w:rPr>
              <w:t xml:space="preserve"> </w:t>
            </w:r>
            <w:r w:rsidR="00FF23AA" w:rsidRPr="00FF23AA">
              <w:rPr>
                <w:rFonts w:ascii="Cambria" w:hAnsi="Cambria"/>
                <w:sz w:val="22"/>
                <w:szCs w:val="22"/>
              </w:rPr>
              <w:t>(ανάθεση κατόπιν διαγωνισμού σύμφωνα με τα όσα προβλέπονται στις διατάξεις του Νόμου 4412/2016 όπως τροποποιήθηκε και ισχύει)</w:t>
            </w:r>
          </w:p>
        </w:tc>
      </w:tr>
    </w:tbl>
    <w:p w14:paraId="6DBAC972" w14:textId="31CF0C28" w:rsidR="00412E30" w:rsidRDefault="00412E30" w:rsidP="00BF1E22">
      <w:pPr>
        <w:widowControl w:val="0"/>
        <w:autoSpaceDE w:val="0"/>
        <w:autoSpaceDN w:val="0"/>
        <w:adjustRightInd w:val="0"/>
        <w:spacing w:before="120" w:after="120"/>
        <w:ind w:right="-1"/>
        <w:jc w:val="both"/>
        <w:rPr>
          <w:rFonts w:ascii="Cambria" w:hAnsi="Cambria" w:cs="Arial"/>
          <w:b/>
          <w:bCs/>
        </w:rPr>
      </w:pPr>
    </w:p>
    <w:p w14:paraId="6F122A2D" w14:textId="26E903C6" w:rsidR="00412E30" w:rsidRDefault="00412E30" w:rsidP="00BF1E22">
      <w:pPr>
        <w:widowControl w:val="0"/>
        <w:autoSpaceDE w:val="0"/>
        <w:autoSpaceDN w:val="0"/>
        <w:adjustRightInd w:val="0"/>
        <w:spacing w:before="120" w:after="120"/>
        <w:ind w:right="-1"/>
        <w:jc w:val="both"/>
        <w:rPr>
          <w:rFonts w:ascii="Cambria" w:hAnsi="Cambria" w:cs="Arial"/>
          <w:b/>
          <w:bCs/>
        </w:rPr>
      </w:pPr>
    </w:p>
    <w:sectPr w:rsidR="00412E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20E7F"/>
    <w:multiLevelType w:val="hybridMultilevel"/>
    <w:tmpl w:val="5762E1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F93C93"/>
    <w:multiLevelType w:val="hybridMultilevel"/>
    <w:tmpl w:val="4AC8586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06141E5"/>
    <w:multiLevelType w:val="hybridMultilevel"/>
    <w:tmpl w:val="6F8825EA"/>
    <w:lvl w:ilvl="0" w:tplc="0408000D">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 w15:restartNumberingAfterBreak="0">
    <w:nsid w:val="7EA60702"/>
    <w:multiLevelType w:val="multilevel"/>
    <w:tmpl w:val="0332E3C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1146" w:hanging="720"/>
      </w:pPr>
      <w:rPr>
        <w:rFonts w:hint="default"/>
      </w:rPr>
    </w:lvl>
    <w:lvl w:ilvl="3">
      <w:start w:val="1"/>
      <w:numFmt w:val="decimal"/>
      <w:pStyle w:val="4"/>
      <w:lvlText w:val="%1.%2.%3.%4"/>
      <w:lvlJc w:val="left"/>
      <w:pPr>
        <w:ind w:left="1148" w:hanging="864"/>
      </w:pPr>
      <w:rPr>
        <w:rFonts w:hint="default"/>
        <w:b w:val="0"/>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9664398">
    <w:abstractNumId w:val="3"/>
  </w:num>
  <w:num w:numId="2" w16cid:durableId="131868457">
    <w:abstractNumId w:val="1"/>
  </w:num>
  <w:num w:numId="3" w16cid:durableId="1135485619">
    <w:abstractNumId w:val="2"/>
  </w:num>
  <w:num w:numId="4" w16cid:durableId="35982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D5"/>
    <w:rsid w:val="000315DD"/>
    <w:rsid w:val="00051676"/>
    <w:rsid w:val="000926B0"/>
    <w:rsid w:val="000C63CF"/>
    <w:rsid w:val="000E0129"/>
    <w:rsid w:val="00114EC5"/>
    <w:rsid w:val="00125FAD"/>
    <w:rsid w:val="001678DF"/>
    <w:rsid w:val="001850AC"/>
    <w:rsid w:val="001A1F58"/>
    <w:rsid w:val="001A31A7"/>
    <w:rsid w:val="001B6587"/>
    <w:rsid w:val="001C3FD1"/>
    <w:rsid w:val="001D32D6"/>
    <w:rsid w:val="00212694"/>
    <w:rsid w:val="002253D7"/>
    <w:rsid w:val="002519AB"/>
    <w:rsid w:val="00267ED5"/>
    <w:rsid w:val="0027282A"/>
    <w:rsid w:val="002841D9"/>
    <w:rsid w:val="00293C05"/>
    <w:rsid w:val="002D39DC"/>
    <w:rsid w:val="00320365"/>
    <w:rsid w:val="00324E45"/>
    <w:rsid w:val="00394893"/>
    <w:rsid w:val="003D66C3"/>
    <w:rsid w:val="003E0458"/>
    <w:rsid w:val="003E47C5"/>
    <w:rsid w:val="003F07D5"/>
    <w:rsid w:val="004027B2"/>
    <w:rsid w:val="00412E30"/>
    <w:rsid w:val="004706F8"/>
    <w:rsid w:val="004B55D1"/>
    <w:rsid w:val="00503045"/>
    <w:rsid w:val="0050323C"/>
    <w:rsid w:val="005328ED"/>
    <w:rsid w:val="00582ADD"/>
    <w:rsid w:val="005A58F1"/>
    <w:rsid w:val="0060612A"/>
    <w:rsid w:val="006402F0"/>
    <w:rsid w:val="00642B9F"/>
    <w:rsid w:val="00654DC6"/>
    <w:rsid w:val="00690090"/>
    <w:rsid w:val="006A0001"/>
    <w:rsid w:val="006D6553"/>
    <w:rsid w:val="006D71FA"/>
    <w:rsid w:val="006E746B"/>
    <w:rsid w:val="006E7726"/>
    <w:rsid w:val="006F0BC8"/>
    <w:rsid w:val="007113EE"/>
    <w:rsid w:val="007430C7"/>
    <w:rsid w:val="00743219"/>
    <w:rsid w:val="007B05B5"/>
    <w:rsid w:val="007C2C6C"/>
    <w:rsid w:val="00820CEA"/>
    <w:rsid w:val="00840C8D"/>
    <w:rsid w:val="00894CF7"/>
    <w:rsid w:val="008B3BC0"/>
    <w:rsid w:val="008E1DFA"/>
    <w:rsid w:val="008E2D72"/>
    <w:rsid w:val="009456E9"/>
    <w:rsid w:val="0095015C"/>
    <w:rsid w:val="00962E57"/>
    <w:rsid w:val="009D4877"/>
    <w:rsid w:val="00A129E7"/>
    <w:rsid w:val="00A20614"/>
    <w:rsid w:val="00AD535A"/>
    <w:rsid w:val="00B246E3"/>
    <w:rsid w:val="00B369E7"/>
    <w:rsid w:val="00B8566C"/>
    <w:rsid w:val="00BB6512"/>
    <w:rsid w:val="00BD7D21"/>
    <w:rsid w:val="00BF1E22"/>
    <w:rsid w:val="00BF415B"/>
    <w:rsid w:val="00C03B8F"/>
    <w:rsid w:val="00C05754"/>
    <w:rsid w:val="00C06D34"/>
    <w:rsid w:val="00C16DFA"/>
    <w:rsid w:val="00C2710A"/>
    <w:rsid w:val="00C334B0"/>
    <w:rsid w:val="00C33913"/>
    <w:rsid w:val="00C60297"/>
    <w:rsid w:val="00C61BB9"/>
    <w:rsid w:val="00C874B9"/>
    <w:rsid w:val="00CA0F8C"/>
    <w:rsid w:val="00CD72CE"/>
    <w:rsid w:val="00D4647C"/>
    <w:rsid w:val="00D54FE4"/>
    <w:rsid w:val="00D86359"/>
    <w:rsid w:val="00DA51AA"/>
    <w:rsid w:val="00DA7BC8"/>
    <w:rsid w:val="00E775F1"/>
    <w:rsid w:val="00F64246"/>
    <w:rsid w:val="00FE4A06"/>
    <w:rsid w:val="00FF23AA"/>
    <w:rsid w:val="00F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84BD"/>
  <w15:chartTrackingRefBased/>
  <w15:docId w15:val="{5D60A243-F27A-43C7-94C1-3692FC37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qFormat/>
    <w:rsid w:val="001C3FD1"/>
    <w:pPr>
      <w:keepNext/>
      <w:numPr>
        <w:numId w:val="1"/>
      </w:numPr>
      <w:pBdr>
        <w:bottom w:val="single" w:sz="4" w:space="1" w:color="auto"/>
      </w:pBdr>
      <w:spacing w:before="240" w:after="480" w:line="276" w:lineRule="auto"/>
      <w:outlineLvl w:val="0"/>
    </w:pPr>
    <w:rPr>
      <w:rFonts w:ascii="Arial" w:eastAsia="Times New Roman" w:hAnsi="Arial" w:cs="Arial"/>
      <w:b/>
      <w:bCs/>
      <w:smallCaps/>
      <w:kern w:val="32"/>
      <w:sz w:val="30"/>
      <w:szCs w:val="30"/>
    </w:rPr>
  </w:style>
  <w:style w:type="paragraph" w:styleId="2">
    <w:name w:val="heading 2"/>
    <w:basedOn w:val="a"/>
    <w:next w:val="a"/>
    <w:link w:val="2Char"/>
    <w:qFormat/>
    <w:rsid w:val="001C3FD1"/>
    <w:pPr>
      <w:keepNext/>
      <w:numPr>
        <w:ilvl w:val="1"/>
        <w:numId w:val="1"/>
      </w:numPr>
      <w:spacing w:before="360" w:after="200" w:line="276" w:lineRule="auto"/>
      <w:outlineLvl w:val="1"/>
    </w:pPr>
    <w:rPr>
      <w:rFonts w:ascii="Arial" w:eastAsia="Times New Roman" w:hAnsi="Arial" w:cs="Arial"/>
      <w:bCs/>
      <w:iCs/>
      <w:sz w:val="28"/>
      <w:szCs w:val="28"/>
    </w:rPr>
  </w:style>
  <w:style w:type="paragraph" w:styleId="3">
    <w:name w:val="heading 3"/>
    <w:basedOn w:val="a"/>
    <w:next w:val="a"/>
    <w:link w:val="3Char"/>
    <w:qFormat/>
    <w:rsid w:val="001C3FD1"/>
    <w:pPr>
      <w:keepNext/>
      <w:numPr>
        <w:ilvl w:val="2"/>
        <w:numId w:val="1"/>
      </w:numPr>
      <w:spacing w:before="360" w:after="120" w:line="360" w:lineRule="auto"/>
      <w:jc w:val="both"/>
      <w:outlineLvl w:val="2"/>
    </w:pPr>
    <w:rPr>
      <w:rFonts w:ascii="Arial" w:eastAsia="Times New Roman" w:hAnsi="Arial" w:cs="Arial"/>
      <w:bCs/>
      <w:i/>
      <w:sz w:val="24"/>
      <w:szCs w:val="24"/>
    </w:rPr>
  </w:style>
  <w:style w:type="paragraph" w:styleId="4">
    <w:name w:val="heading 4"/>
    <w:basedOn w:val="a"/>
    <w:next w:val="a"/>
    <w:link w:val="4Char"/>
    <w:qFormat/>
    <w:rsid w:val="001C3FD1"/>
    <w:pPr>
      <w:keepNext/>
      <w:numPr>
        <w:ilvl w:val="3"/>
        <w:numId w:val="1"/>
      </w:numPr>
      <w:spacing w:before="240" w:after="60" w:line="276" w:lineRule="auto"/>
      <w:jc w:val="both"/>
      <w:outlineLvl w:val="3"/>
    </w:pPr>
    <w:rPr>
      <w:rFonts w:ascii="Arial" w:eastAsia="Times New Roman" w:hAnsi="Arial" w:cs="Arial"/>
      <w:bCs/>
    </w:rPr>
  </w:style>
  <w:style w:type="paragraph" w:styleId="6">
    <w:name w:val="heading 6"/>
    <w:basedOn w:val="a"/>
    <w:next w:val="a"/>
    <w:link w:val="6Char"/>
    <w:semiHidden/>
    <w:unhideWhenUsed/>
    <w:qFormat/>
    <w:rsid w:val="001C3FD1"/>
    <w:pPr>
      <w:numPr>
        <w:ilvl w:val="5"/>
        <w:numId w:val="1"/>
      </w:numPr>
      <w:spacing w:before="240" w:after="60" w:line="276" w:lineRule="auto"/>
      <w:jc w:val="both"/>
      <w:outlineLvl w:val="5"/>
    </w:pPr>
    <w:rPr>
      <w:rFonts w:eastAsiaTheme="minorEastAsia"/>
      <w:b/>
      <w:bCs/>
      <w:color w:val="000000"/>
    </w:rPr>
  </w:style>
  <w:style w:type="paragraph" w:styleId="7">
    <w:name w:val="heading 7"/>
    <w:basedOn w:val="a"/>
    <w:next w:val="a"/>
    <w:link w:val="7Char"/>
    <w:semiHidden/>
    <w:unhideWhenUsed/>
    <w:qFormat/>
    <w:rsid w:val="001C3FD1"/>
    <w:pPr>
      <w:numPr>
        <w:ilvl w:val="6"/>
        <w:numId w:val="1"/>
      </w:numPr>
      <w:spacing w:before="240" w:after="60" w:line="276" w:lineRule="auto"/>
      <w:jc w:val="both"/>
      <w:outlineLvl w:val="6"/>
    </w:pPr>
    <w:rPr>
      <w:rFonts w:eastAsiaTheme="minorEastAsia"/>
      <w:color w:val="000000"/>
      <w:sz w:val="24"/>
      <w:szCs w:val="24"/>
    </w:rPr>
  </w:style>
  <w:style w:type="paragraph" w:styleId="8">
    <w:name w:val="heading 8"/>
    <w:basedOn w:val="a"/>
    <w:next w:val="a"/>
    <w:link w:val="8Char"/>
    <w:semiHidden/>
    <w:unhideWhenUsed/>
    <w:qFormat/>
    <w:rsid w:val="001C3FD1"/>
    <w:pPr>
      <w:numPr>
        <w:ilvl w:val="7"/>
        <w:numId w:val="1"/>
      </w:numPr>
      <w:spacing w:before="240" w:after="60" w:line="276" w:lineRule="auto"/>
      <w:jc w:val="both"/>
      <w:outlineLvl w:val="7"/>
    </w:pPr>
    <w:rPr>
      <w:rFonts w:eastAsiaTheme="minorEastAsia"/>
      <w:i/>
      <w:i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C3FD1"/>
    <w:rPr>
      <w:rFonts w:ascii="Arial" w:eastAsia="Times New Roman" w:hAnsi="Arial" w:cs="Arial"/>
      <w:b/>
      <w:bCs/>
      <w:smallCaps/>
      <w:kern w:val="32"/>
      <w:sz w:val="30"/>
      <w:szCs w:val="30"/>
    </w:rPr>
  </w:style>
  <w:style w:type="character" w:customStyle="1" w:styleId="2Char">
    <w:name w:val="Επικεφαλίδα 2 Char"/>
    <w:basedOn w:val="a0"/>
    <w:link w:val="2"/>
    <w:rsid w:val="001C3FD1"/>
    <w:rPr>
      <w:rFonts w:ascii="Arial" w:eastAsia="Times New Roman" w:hAnsi="Arial" w:cs="Arial"/>
      <w:bCs/>
      <w:iCs/>
      <w:sz w:val="28"/>
      <w:szCs w:val="28"/>
    </w:rPr>
  </w:style>
  <w:style w:type="character" w:customStyle="1" w:styleId="3Char">
    <w:name w:val="Επικεφαλίδα 3 Char"/>
    <w:basedOn w:val="a0"/>
    <w:link w:val="3"/>
    <w:rsid w:val="001C3FD1"/>
    <w:rPr>
      <w:rFonts w:ascii="Arial" w:eastAsia="Times New Roman" w:hAnsi="Arial" w:cs="Arial"/>
      <w:bCs/>
      <w:i/>
      <w:sz w:val="24"/>
      <w:szCs w:val="24"/>
    </w:rPr>
  </w:style>
  <w:style w:type="character" w:customStyle="1" w:styleId="4Char">
    <w:name w:val="Επικεφαλίδα 4 Char"/>
    <w:basedOn w:val="a0"/>
    <w:link w:val="4"/>
    <w:rsid w:val="001C3FD1"/>
    <w:rPr>
      <w:rFonts w:ascii="Arial" w:eastAsia="Times New Roman" w:hAnsi="Arial" w:cs="Arial"/>
      <w:bCs/>
    </w:rPr>
  </w:style>
  <w:style w:type="character" w:customStyle="1" w:styleId="6Char">
    <w:name w:val="Επικεφαλίδα 6 Char"/>
    <w:basedOn w:val="a0"/>
    <w:link w:val="6"/>
    <w:semiHidden/>
    <w:rsid w:val="001C3FD1"/>
    <w:rPr>
      <w:rFonts w:eastAsiaTheme="minorEastAsia"/>
      <w:b/>
      <w:bCs/>
      <w:color w:val="000000"/>
    </w:rPr>
  </w:style>
  <w:style w:type="character" w:customStyle="1" w:styleId="7Char">
    <w:name w:val="Επικεφαλίδα 7 Char"/>
    <w:basedOn w:val="a0"/>
    <w:link w:val="7"/>
    <w:semiHidden/>
    <w:rsid w:val="001C3FD1"/>
    <w:rPr>
      <w:rFonts w:eastAsiaTheme="minorEastAsia"/>
      <w:color w:val="000000"/>
      <w:sz w:val="24"/>
      <w:szCs w:val="24"/>
    </w:rPr>
  </w:style>
  <w:style w:type="character" w:customStyle="1" w:styleId="8Char">
    <w:name w:val="Επικεφαλίδα 8 Char"/>
    <w:basedOn w:val="a0"/>
    <w:link w:val="8"/>
    <w:semiHidden/>
    <w:rsid w:val="001C3FD1"/>
    <w:rPr>
      <w:rFonts w:eastAsiaTheme="minorEastAsia"/>
      <w:i/>
      <w:iCs/>
      <w:color w:val="000000"/>
      <w:sz w:val="24"/>
      <w:szCs w:val="24"/>
    </w:rPr>
  </w:style>
  <w:style w:type="table" w:styleId="a3">
    <w:name w:val="Table Grid"/>
    <w:basedOn w:val="a1"/>
    <w:uiPriority w:val="39"/>
    <w:rsid w:val="001C3FD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Char"/>
    <w:uiPriority w:val="34"/>
    <w:qFormat/>
    <w:rsid w:val="001C3FD1"/>
    <w:pPr>
      <w:spacing w:after="200" w:line="276" w:lineRule="auto"/>
      <w:ind w:left="720"/>
      <w:contextualSpacing/>
      <w:jc w:val="both"/>
    </w:pPr>
    <w:rPr>
      <w:rFonts w:ascii="Cambria" w:eastAsia="Times New Roman" w:hAnsi="Cambria" w:cs="Times New Roman"/>
      <w:color w:val="000000"/>
    </w:rPr>
  </w:style>
  <w:style w:type="character" w:customStyle="1" w:styleId="Char">
    <w:name w:val="Παράγραφος λίστας Char"/>
    <w:basedOn w:val="a0"/>
    <w:link w:val="a4"/>
    <w:uiPriority w:val="34"/>
    <w:rsid w:val="001C3FD1"/>
    <w:rPr>
      <w:rFonts w:ascii="Cambria" w:eastAsia="Times New Roman" w:hAnsi="Cambria" w:cs="Times New Roman"/>
      <w:color w:val="000000"/>
    </w:rPr>
  </w:style>
  <w:style w:type="paragraph" w:styleId="a5">
    <w:name w:val="Title"/>
    <w:basedOn w:val="a"/>
    <w:next w:val="a"/>
    <w:link w:val="Char0"/>
    <w:uiPriority w:val="10"/>
    <w:qFormat/>
    <w:rsid w:val="002841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5"/>
    <w:uiPriority w:val="10"/>
    <w:rsid w:val="002841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600</Words>
  <Characters>3243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napostolaki</dc:creator>
  <cp:keywords/>
  <dc:description/>
  <cp:lastModifiedBy>tkatsani</cp:lastModifiedBy>
  <cp:revision>4</cp:revision>
  <dcterms:created xsi:type="dcterms:W3CDTF">2025-10-10T09:47:00Z</dcterms:created>
  <dcterms:modified xsi:type="dcterms:W3CDTF">2025-10-10T09:49:00Z</dcterms:modified>
</cp:coreProperties>
</file>