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56D1F0B2"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554A64">
            <w:rPr>
              <w:rStyle w:val="Char6"/>
            </w:rPr>
            <w:t xml:space="preserve">Δημήτρης Λογαράς </w:t>
          </w:r>
        </w:sdtContent>
      </w:sdt>
    </w:p>
    <w:p w14:paraId="21E06487" w14:textId="08D14C02"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5-11-19T00:00:00Z">
                    <w:dateFormat w:val="dd.MM.yyyy"/>
                    <w:lid w:val="el-GR"/>
                    <w:storeMappedDataAs w:val="dateTime"/>
                    <w:calendar w:val="gregorian"/>
                  </w:date>
                </w:sdtPr>
                <w:sdtEndPr>
                  <w:rPr>
                    <w:rStyle w:val="a1"/>
                  </w:rPr>
                </w:sdtEndPr>
                <w:sdtContent>
                  <w:r w:rsidR="00F44EDC">
                    <w:rPr>
                      <w:rStyle w:val="Char6"/>
                    </w:rPr>
                    <w:t>19.11.2025</w:t>
                  </w:r>
                </w:sdtContent>
              </w:sdt>
            </w:sdtContent>
          </w:sdt>
        </w:sdtContent>
      </w:sdt>
    </w:p>
    <w:p w14:paraId="387D4CEF" w14:textId="481908C2"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94421E">
            <w:rPr>
              <w:rStyle w:val="Char6"/>
            </w:rPr>
            <w:t>1527</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3F3A8755"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6F7F12">
                        <w:t xml:space="preserve">Πρόεδρο και Μέλη Διαρκούς Επιτροπής Παραγωγής &amp; Εμπορίου της Βουλής των Ελλήνων </w:t>
                      </w:r>
                    </w:sdtContent>
                  </w:sdt>
                </w:p>
              </w:sdtContent>
            </w:sdt>
          </w:sdtContent>
        </w:sdt>
      </w:sdtContent>
    </w:sdt>
    <w:p w14:paraId="31E1A41E" w14:textId="77777777" w:rsidR="00554A64" w:rsidRDefault="00554A64" w:rsidP="0083359D">
      <w:pPr>
        <w:tabs>
          <w:tab w:val="left" w:pos="993"/>
        </w:tabs>
        <w:spacing w:after="480"/>
        <w:ind w:left="992" w:hanging="992"/>
        <w:rPr>
          <w:rStyle w:val="ab"/>
        </w:rPr>
      </w:pPr>
    </w:p>
    <w:p w14:paraId="48D01092" w14:textId="0994F0AC"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7DE816FA"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6F7F12">
                    <w:rPr>
                      <w:sz w:val="22"/>
                      <w:szCs w:val="22"/>
                    </w:rPr>
                    <w:t xml:space="preserve">Πρόταση Ε.Σ.Α.μεΑ. επί του </w:t>
                  </w:r>
                  <w:r w:rsidR="00B02D0E">
                    <w:rPr>
                      <w:sz w:val="22"/>
                      <w:szCs w:val="22"/>
                    </w:rPr>
                    <w:t xml:space="preserve">υπό συζήτηση </w:t>
                  </w:r>
                  <w:r w:rsidR="006F7F12">
                    <w:rPr>
                      <w:sz w:val="22"/>
                      <w:szCs w:val="22"/>
                    </w:rPr>
                    <w:t xml:space="preserve">Σχεδίου Νόμου </w:t>
                  </w:r>
                  <w:r w:rsidR="007B163A" w:rsidRPr="007B163A">
                    <w:rPr>
                      <w:sz w:val="22"/>
                      <w:szCs w:val="22"/>
                    </w:rPr>
                    <w:t xml:space="preserve">του Υπουργείου Ανάπτυξης με τίτλο </w:t>
                  </w:r>
                  <w:r w:rsidR="004551DF" w:rsidRPr="00DA319E">
                    <w:rPr>
                      <w:i/>
                      <w:iCs/>
                      <w:sz w:val="22"/>
                      <w:szCs w:val="22"/>
                    </w:rPr>
                    <w:t>“</w:t>
                  </w:r>
                  <w:r w:rsidR="007B163A" w:rsidRPr="00DA319E">
                    <w:rPr>
                      <w:i/>
                      <w:iCs/>
                      <w:sz w:val="22"/>
                      <w:szCs w:val="22"/>
                    </w:rPr>
                    <w:t xml:space="preserve">Σύσταση και λειτουργία Ανεξάρτητης Αρχής </w:t>
                  </w:r>
                  <w:r w:rsidR="006F7F12">
                    <w:rPr>
                      <w:i/>
                      <w:iCs/>
                      <w:sz w:val="22"/>
                      <w:szCs w:val="22"/>
                    </w:rPr>
                    <w:t xml:space="preserve">Ελέγχου </w:t>
                  </w:r>
                  <w:r w:rsidR="007B163A" w:rsidRPr="00DA319E">
                    <w:rPr>
                      <w:i/>
                      <w:iCs/>
                      <w:sz w:val="22"/>
                      <w:szCs w:val="22"/>
                    </w:rPr>
                    <w:t>της Αγοράς και Προστασίας του Καταναλωτή, ρυθμίσεις για την Επιτροπή Ανταγωνισμού και λοιπές διατάξεις</w:t>
                  </w:r>
                  <w:r w:rsidR="004551DF" w:rsidRPr="00DA319E">
                    <w:rPr>
                      <w:i/>
                      <w:iCs/>
                      <w:sz w:val="22"/>
                      <w:szCs w:val="22"/>
                    </w:rPr>
                    <w:t>”</w:t>
                  </w:r>
                  <w:r w:rsidR="00554A64" w:rsidRPr="007B163A">
                    <w:rPr>
                      <w:i/>
                      <w:iCs/>
                      <w:color w:val="000000"/>
                      <w:sz w:val="22"/>
                      <w:szCs w:val="22"/>
                    </w:rPr>
                    <w:t>.</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p w14:paraId="79278BCB" w14:textId="7919BAD1" w:rsidR="007B163A" w:rsidRDefault="006F7F12" w:rsidP="007B163A">
              <w:pPr>
                <w:spacing w:line="240" w:lineRule="auto"/>
                <w:rPr>
                  <w:b/>
                  <w:bCs/>
                  <w:i/>
                  <w:iCs/>
                </w:rPr>
              </w:pPr>
              <w:r>
                <w:rPr>
                  <w:b/>
                  <w:bCs/>
                  <w:i/>
                  <w:iCs/>
                </w:rPr>
                <w:t>Αξιότιμ</w:t>
              </w:r>
              <w:r w:rsidR="00BA5F56">
                <w:rPr>
                  <w:b/>
                  <w:bCs/>
                  <w:i/>
                  <w:iCs/>
                </w:rPr>
                <w:t>η</w:t>
              </w:r>
              <w:r>
                <w:rPr>
                  <w:b/>
                  <w:bCs/>
                  <w:i/>
                  <w:iCs/>
                </w:rPr>
                <w:t xml:space="preserve"> Πρόεδρε</w:t>
              </w:r>
              <w:r w:rsidR="00510963" w:rsidRPr="00420D37">
                <w:rPr>
                  <w:b/>
                  <w:bCs/>
                  <w:i/>
                  <w:iCs/>
                </w:rPr>
                <w:t xml:space="preserve">, </w:t>
              </w:r>
            </w:p>
            <w:p w14:paraId="2FFEF0AD" w14:textId="092FC738" w:rsidR="006F7F12" w:rsidRDefault="006F7F12" w:rsidP="007B163A">
              <w:pPr>
                <w:spacing w:line="240" w:lineRule="auto"/>
                <w:rPr>
                  <w:b/>
                  <w:bCs/>
                  <w:i/>
                  <w:iCs/>
                </w:rPr>
              </w:pPr>
              <w:r>
                <w:rPr>
                  <w:b/>
                  <w:bCs/>
                  <w:i/>
                  <w:iCs/>
                </w:rPr>
                <w:t xml:space="preserve">Αξιότιμα Μέλη, </w:t>
              </w:r>
            </w:p>
            <w:p w14:paraId="42B38359" w14:textId="7E8A8340" w:rsidR="00A417A6" w:rsidRDefault="00F81009" w:rsidP="007B163A">
              <w:pPr>
                <w:spacing w:line="240" w:lineRule="auto"/>
                <w:rPr>
                  <w:rFonts w:eastAsiaTheme="minorHAnsi" w:cstheme="minorBidi"/>
                  <w:kern w:val="2"/>
                  <w14:ligatures w14:val="standardContextual"/>
                </w:rPr>
              </w:pPr>
              <w:r w:rsidRPr="00F81009">
                <w:rPr>
                  <w:rFonts w:eastAsiaTheme="minorHAnsi" w:cstheme="minorBidi"/>
                  <w:kern w:val="2"/>
                  <w14:ligatures w14:val="standardContextual"/>
                </w:rPr>
                <w:t xml:space="preserve">Η Εθνική Συνομοσπονδία Ατόμων με Αναπηρία (Ε.Σ.Α.μεΑ.) σας αποστέλλει, με το παρόν, </w:t>
              </w:r>
              <w:r>
                <w:rPr>
                  <w:rFonts w:eastAsiaTheme="minorHAnsi" w:cstheme="minorBidi"/>
                  <w:kern w:val="2"/>
                  <w14:ligatures w14:val="standardContextual"/>
                </w:rPr>
                <w:t xml:space="preserve">πρότασή </w:t>
              </w:r>
              <w:r w:rsidRPr="00F81009">
                <w:rPr>
                  <w:rFonts w:eastAsiaTheme="minorHAnsi" w:cstheme="minorBidi"/>
                  <w:kern w:val="2"/>
                  <w14:ligatures w14:val="standardContextual"/>
                </w:rPr>
                <w:t xml:space="preserve">της επί του υπό συζήτηση Σχεδίου Νόμου με τίτλο </w:t>
              </w:r>
              <w:r w:rsidRPr="004835DD">
                <w:rPr>
                  <w:rFonts w:eastAsiaTheme="minorHAnsi" w:cstheme="minorBidi"/>
                  <w:i/>
                  <w:iCs/>
                  <w:kern w:val="2"/>
                  <w14:ligatures w14:val="standardContextual"/>
                </w:rPr>
                <w:t>«Σύσταση και λειτουργία Ανεξάρτητης Αρχής Ελέγχου της Αγοράς και Προστασίας του Καταναλωτή, ρυθμίσεις για την Επιτροπή Ανταγωνισμού και λοιπές διατάξεις»</w:t>
              </w:r>
              <w:r w:rsidR="00A417A6">
                <w:rPr>
                  <w:rFonts w:eastAsiaTheme="minorHAnsi" w:cstheme="minorBidi"/>
                  <w:i/>
                  <w:iCs/>
                  <w:kern w:val="2"/>
                  <w14:ligatures w14:val="standardContextual"/>
                </w:rPr>
                <w:t xml:space="preserve">, </w:t>
              </w:r>
              <w:r w:rsidRPr="00F81009">
                <w:rPr>
                  <w:rFonts w:eastAsiaTheme="minorHAnsi" w:cstheme="minorBidi"/>
                  <w:kern w:val="2"/>
                  <w14:ligatures w14:val="standardContextual"/>
                </w:rPr>
                <w:t>και ζητά να κληθεί κατά τη συζήτησ</w:t>
              </w:r>
              <w:r w:rsidR="00A417A6">
                <w:rPr>
                  <w:rFonts w:eastAsiaTheme="minorHAnsi" w:cstheme="minorBidi"/>
                  <w:kern w:val="2"/>
                  <w14:ligatures w14:val="standardContextual"/>
                </w:rPr>
                <w:t>ή του</w:t>
              </w:r>
              <w:r w:rsidRPr="00F81009">
                <w:rPr>
                  <w:rFonts w:eastAsiaTheme="minorHAnsi" w:cstheme="minorBidi"/>
                  <w:kern w:val="2"/>
                  <w14:ligatures w14:val="standardContextual"/>
                </w:rPr>
                <w:t xml:space="preserve"> στην Επιτροπή</w:t>
              </w:r>
              <w:r w:rsidR="00A417A6">
                <w:rPr>
                  <w:rFonts w:eastAsiaTheme="minorHAnsi" w:cstheme="minorBidi"/>
                  <w:kern w:val="2"/>
                  <w14:ligatures w14:val="standardContextual"/>
                </w:rPr>
                <w:t xml:space="preserve"> εκπρόσωπός της προκειμένου να σας την </w:t>
              </w:r>
              <w:r w:rsidRPr="00F81009">
                <w:rPr>
                  <w:rFonts w:eastAsiaTheme="minorHAnsi" w:cstheme="minorBidi"/>
                  <w:kern w:val="2"/>
                  <w14:ligatures w14:val="standardContextual"/>
                </w:rPr>
                <w:t>παρουσιάσει.</w:t>
              </w:r>
              <w:r>
                <w:rPr>
                  <w:rFonts w:eastAsiaTheme="minorHAnsi" w:cstheme="minorBidi"/>
                  <w:kern w:val="2"/>
                  <w14:ligatures w14:val="standardContextual"/>
                </w:rPr>
                <w:t xml:space="preserve"> </w:t>
              </w:r>
            </w:p>
            <w:p w14:paraId="03371117" w14:textId="7E5E386D" w:rsidR="003D17A3" w:rsidRDefault="003D17A3" w:rsidP="007B163A">
              <w:pPr>
                <w:spacing w:line="240" w:lineRule="auto"/>
              </w:pPr>
              <w:r w:rsidRPr="003D17A3">
                <w:t>Αξίζει να σημειωθεί ότι</w:t>
              </w:r>
              <w:r w:rsidR="00ED5D12">
                <w:t xml:space="preserve"> </w:t>
              </w:r>
              <w:r w:rsidR="00D44953">
                <w:t>το σύνολο των προτάσεών μας</w:t>
              </w:r>
              <w:r w:rsidRPr="003D17A3">
                <w:t>,</w:t>
              </w:r>
              <w:r w:rsidR="00585691" w:rsidRPr="00585691">
                <w:t xml:space="preserve"> </w:t>
              </w:r>
              <w:r w:rsidRPr="003D17A3">
                <w:t xml:space="preserve">οι οποίες υποβλήθηκαν στο πλαίσιο της δημόσιας ηλεκτρονικής διαβούλευσης τόσο μέσω του διαδικτυακού τόπου ανοιχτής διακυβέρνησης </w:t>
              </w:r>
              <w:hyperlink r:id="rId10" w:tgtFrame="_new" w:history="1">
                <w:r w:rsidRPr="003D17A3">
                  <w:rPr>
                    <w:color w:val="0000FF"/>
                    <w:u w:val="single"/>
                  </w:rPr>
                  <w:t>www.opengov.gr</w:t>
                </w:r>
              </w:hyperlink>
              <w:r w:rsidRPr="003D17A3">
                <w:t xml:space="preserve"> </w:t>
              </w:r>
              <w:r>
                <w:t>όσο και απευθείας στον Υπουργό Ανάπτυξης με το υπ’ αριθμ. πρωτ. 1470/11.11.2025 έγγραφό μας,</w:t>
              </w:r>
              <w:r w:rsidR="00BA5F56">
                <w:t xml:space="preserve"> </w:t>
              </w:r>
              <w:r w:rsidR="00ED5D12">
                <w:t xml:space="preserve">με εξαίρεση την παρούσα, </w:t>
              </w:r>
              <w:r w:rsidR="00BA5F56">
                <w:t>έχουν ενσωματωθεί στο</w:t>
              </w:r>
              <w:r w:rsidR="00ED5D12">
                <w:t xml:space="preserve"> σχέδιο νόμου</w:t>
              </w:r>
              <w:r>
                <w:t>.</w:t>
              </w:r>
              <w:r w:rsidRPr="003D17A3">
                <w:t xml:space="preserve"> </w:t>
              </w:r>
              <w:r>
                <w:t>Πιο συγκεκριμένα, προστέθηκε ρητή αναφορά στα άρθρα 3 και 4 για την προστασία των δικαιωμάτων των καταναλωτών με αναπηρία</w:t>
              </w:r>
              <w:r w:rsidR="004C6B12">
                <w:t xml:space="preserve"> και</w:t>
              </w:r>
              <w:r>
                <w:t xml:space="preserve"> στο άρθρο 33 προβλέφθηκε η συνεργασία της Ανεξάρτητης Αρχής με το Εθνικό Συμβούλιο Καταναλωτή και Αγοράς (ΕΣΚΑ), στο οποίο η Συνομοσπονδία συμμετέχει με εκπρόσωπό της.</w:t>
              </w:r>
            </w:p>
            <w:p w14:paraId="774E05F8" w14:textId="53C211F6" w:rsidR="00434F97" w:rsidRPr="00434F97" w:rsidRDefault="00545F0E" w:rsidP="007B163A">
              <w:pPr>
                <w:spacing w:line="240" w:lineRule="auto"/>
              </w:pPr>
              <w:r w:rsidRPr="0075130B">
                <w:rPr>
                  <w:b/>
                  <w:bCs/>
                  <w:u w:val="single"/>
                </w:rPr>
                <w:t xml:space="preserve">Προτού </w:t>
              </w:r>
              <w:proofErr w:type="spellStart"/>
              <w:r w:rsidR="00F44EDC" w:rsidRPr="0075130B">
                <w:rPr>
                  <w:b/>
                  <w:bCs/>
                  <w:u w:val="single"/>
                </w:rPr>
                <w:t>επανα</w:t>
              </w:r>
              <w:proofErr w:type="spellEnd"/>
              <w:r w:rsidR="00F44EDC" w:rsidRPr="0075130B">
                <w:rPr>
                  <w:b/>
                  <w:bCs/>
                  <w:u w:val="single"/>
                </w:rPr>
                <w:t xml:space="preserve">-υποβάλουμε </w:t>
              </w:r>
              <w:r w:rsidRPr="0075130B">
                <w:rPr>
                  <w:b/>
                  <w:bCs/>
                  <w:u w:val="single"/>
                </w:rPr>
                <w:t>την πρότασή μας</w:t>
              </w:r>
              <w:r w:rsidR="00F44EDC" w:rsidRPr="0075130B">
                <w:rPr>
                  <w:b/>
                  <w:bCs/>
                  <w:u w:val="single"/>
                </w:rPr>
                <w:t xml:space="preserve"> ελαφρώς διαφοροποιημένη,</w:t>
              </w:r>
              <w:r w:rsidR="00A73369">
                <w:t xml:space="preserve"> θα θέλαμε </w:t>
              </w:r>
              <w:r w:rsidR="00434F97" w:rsidRPr="00434F97">
                <w:t xml:space="preserve">να </w:t>
              </w:r>
              <w:r>
                <w:t xml:space="preserve">υπενθυμίσουμε </w:t>
              </w:r>
              <w:r w:rsidR="00434F97" w:rsidRPr="00434F97">
                <w:t xml:space="preserve">ότι τα άτομα με αναπηρία, χρόνιες ή/και σπάνιες παθήσεις: </w:t>
              </w:r>
            </w:p>
            <w:p w14:paraId="38C87E71" w14:textId="31FCF25C" w:rsidR="00434F97" w:rsidRDefault="00A47C12" w:rsidP="007B163A">
              <w:pPr>
                <w:pStyle w:val="a9"/>
                <w:numPr>
                  <w:ilvl w:val="0"/>
                  <w:numId w:val="26"/>
                </w:numPr>
                <w:spacing w:after="0" w:line="240" w:lineRule="auto"/>
              </w:pPr>
              <w:r>
                <w:lastRenderedPageBreak/>
                <w:t>Α</w:t>
              </w:r>
              <w:r w:rsidR="007B163A" w:rsidRPr="00434F97">
                <w:t xml:space="preserve">ποτελούν ένα σημαντικό τμήμα του καταναλωτικού κοινού </w:t>
              </w:r>
              <w:r w:rsidR="007B163A" w:rsidRPr="00434F97">
                <w:rPr>
                  <w:rStyle w:val="af9"/>
                </w:rPr>
                <w:footnoteReference w:id="1"/>
              </w:r>
              <w:r>
                <w:t xml:space="preserve">. </w:t>
              </w:r>
            </w:p>
            <w:p w14:paraId="00B55F98" w14:textId="77777777" w:rsidR="00002259" w:rsidRPr="00434F97" w:rsidRDefault="00002259" w:rsidP="00002259">
              <w:pPr>
                <w:pStyle w:val="a9"/>
                <w:spacing w:after="0" w:line="240" w:lineRule="auto"/>
              </w:pPr>
            </w:p>
            <w:p w14:paraId="650EC9DF" w14:textId="27E035F7" w:rsidR="00434F97" w:rsidRDefault="00A47C12" w:rsidP="00434F97">
              <w:pPr>
                <w:pStyle w:val="a9"/>
                <w:numPr>
                  <w:ilvl w:val="0"/>
                  <w:numId w:val="26"/>
                </w:numPr>
                <w:spacing w:after="0" w:line="240" w:lineRule="auto"/>
              </w:pPr>
              <w:r>
                <w:t>Δ</w:t>
              </w:r>
              <w:r w:rsidR="007B163A" w:rsidRPr="00434F97">
                <w:t>εν είναι μόνο καταναλωτές γενικών αγαθών και υπηρεσιών (όπως τρόφιμα, είδη ρουχισμού ή οικιακής χρήσης, νερό, φυσικό αέριο, ηλεκτρική ενέργεια, υπηρεσίες στέγασης, εστίασης, εκπαίδευσης, αναψυχής, ιατρικές υπηρεσίες κ.λπ.), αλλά και ειδικών (όπως βοηθήματα κινητικότητας ή/και ενίσχυσης ακοής ή/και όρασης, ειδικοί εξοπλισμοί υποστήριξης της διαβίωσης, ιατρικός εξοπλισμός, φάρμακα και αναλώσιμα υλικά, υπηρεσίες προσωπικής φροντίδας ή αποκατάστασης)</w:t>
              </w:r>
              <w:r w:rsidR="00434F97">
                <w:t xml:space="preserve">. </w:t>
              </w:r>
            </w:p>
            <w:p w14:paraId="11D3E5CA" w14:textId="77777777" w:rsidR="00002259" w:rsidRPr="00434F97" w:rsidRDefault="00002259" w:rsidP="00002259">
              <w:pPr>
                <w:spacing w:after="0" w:line="240" w:lineRule="auto"/>
              </w:pPr>
            </w:p>
            <w:p w14:paraId="75D2290F" w14:textId="25522565" w:rsidR="007B163A" w:rsidRPr="0054146D" w:rsidRDefault="00A47C12" w:rsidP="00434F97">
              <w:pPr>
                <w:pStyle w:val="a9"/>
                <w:numPr>
                  <w:ilvl w:val="0"/>
                  <w:numId w:val="26"/>
                </w:numPr>
                <w:spacing w:after="0" w:line="240" w:lineRule="auto"/>
                <w:rPr>
                  <w:u w:val="single"/>
                </w:rPr>
              </w:pPr>
              <w:r>
                <w:t>Θ</w:t>
              </w:r>
              <w:r w:rsidR="00434F97" w:rsidRPr="0054146D">
                <w:t>ε</w:t>
              </w:r>
              <w:r w:rsidR="007B163A" w:rsidRPr="00B812B0">
                <w:t xml:space="preserve">ωρούνται </w:t>
              </w:r>
              <w:r w:rsidR="007B163A" w:rsidRPr="008A1B75">
                <w:t>ευάλωτοι καταναλωτές</w:t>
              </w:r>
              <w:r w:rsidR="007B163A" w:rsidRPr="00B812B0">
                <w:t>, καθώς συχνά στερούνται ίσων επιλογών στην αγορ</w:t>
              </w:r>
              <w:r w:rsidR="007B163A">
                <w:t xml:space="preserve">ά. Πολλά </w:t>
              </w:r>
              <w:r w:rsidR="007B163A" w:rsidRPr="00B812B0">
                <w:t xml:space="preserve">προϊόντα και υπηρεσίες </w:t>
              </w:r>
              <w:r w:rsidR="007B163A">
                <w:t xml:space="preserve">είναι </w:t>
              </w:r>
              <w:r w:rsidR="007B163A" w:rsidRPr="00B812B0">
                <w:t>μη προσβάσιμα,</w:t>
              </w:r>
              <w:r w:rsidR="007B163A">
                <w:t xml:space="preserve"> περιορίζοντας τη δυνατότητά τους να επιλέγουν ελεύθερα, όπως οι υπόλοιποι πολίτες. Επιπρόσθετα, η </w:t>
              </w:r>
              <w:r w:rsidR="007B163A" w:rsidRPr="00B812B0">
                <w:t xml:space="preserve">έλλειψη προσβάσιμων πληροφοριών </w:t>
              </w:r>
              <w:r w:rsidR="007B163A">
                <w:t xml:space="preserve">δυσχεραίνει </w:t>
              </w:r>
              <w:r w:rsidR="007B163A" w:rsidRPr="00B812B0">
                <w:t>τη σύγκριση τιμών</w:t>
              </w:r>
              <w:r w:rsidR="007B163A">
                <w:t xml:space="preserve"> και π</w:t>
              </w:r>
              <w:r w:rsidR="007B163A" w:rsidRPr="00B812B0">
                <w:t>οιότητας</w:t>
              </w:r>
              <w:r w:rsidR="007B163A">
                <w:t xml:space="preserve">. Οι </w:t>
              </w:r>
              <w:r w:rsidR="007B163A" w:rsidRPr="00B812B0">
                <w:t>συμβάσεις</w:t>
              </w:r>
              <w:r w:rsidR="007B163A">
                <w:t xml:space="preserve"> -</w:t>
              </w:r>
              <w:r w:rsidR="007B163A" w:rsidRPr="00B812B0">
                <w:t>ιδίως σε τομείς όπως η ενέργεια ή οι τηλεπικοινωνίες</w:t>
              </w:r>
              <w:r w:rsidR="007B163A">
                <w:t>-</w:t>
              </w:r>
              <w:r w:rsidR="007B163A" w:rsidRPr="00B812B0">
                <w:t xml:space="preserve"> είναι συχνά δυσνόητες </w:t>
              </w:r>
              <w:r w:rsidR="007B163A">
                <w:t xml:space="preserve">και μη διαθέσιμες σε προσβάσιμες και κατανοητές σε όλους μορφές. </w:t>
              </w:r>
              <w:r w:rsidR="007B163A" w:rsidRPr="00B812B0">
                <w:t xml:space="preserve">Η ευαλωτότητα </w:t>
              </w:r>
              <w:r w:rsidR="007B163A">
                <w:t xml:space="preserve">των καταναλωτών με αναπηρία </w:t>
              </w:r>
              <w:r w:rsidR="007B163A" w:rsidRPr="00B812B0">
                <w:t xml:space="preserve">εντείνεται από παράγοντες όπως </w:t>
              </w:r>
              <w:r w:rsidR="007B163A">
                <w:t>είναι το χαμηλό εισόδημα λόγω του αποκλεισμού τους από την αγορά εργασίας</w:t>
              </w:r>
              <w:r w:rsidR="007B163A" w:rsidRPr="00B812B0">
                <w:t xml:space="preserve">, η εξάρτηση από υποστηρικτικές τεχνολογίες και η </w:t>
              </w:r>
              <w:r w:rsidR="007B163A">
                <w:t>έλλειψη</w:t>
              </w:r>
              <w:r w:rsidR="008E2D87">
                <w:t xml:space="preserve"> κατάλληλης </w:t>
              </w:r>
              <w:r w:rsidR="007B163A" w:rsidRPr="00B812B0">
                <w:t>νομικής υποστήριξης</w:t>
              </w:r>
              <w:r w:rsidR="007B163A" w:rsidRPr="008B0C03">
                <w:t xml:space="preserve">. </w:t>
              </w:r>
            </w:p>
            <w:p w14:paraId="60C69361" w14:textId="77777777" w:rsidR="0054146D" w:rsidRPr="00434F97" w:rsidRDefault="0054146D" w:rsidP="0054146D">
              <w:pPr>
                <w:pStyle w:val="a9"/>
                <w:spacing w:after="0" w:line="240" w:lineRule="auto"/>
                <w:rPr>
                  <w:u w:val="single"/>
                </w:rPr>
              </w:pPr>
            </w:p>
            <w:p w14:paraId="171C793B" w14:textId="3A6394BD" w:rsidR="00002259" w:rsidRPr="00325034" w:rsidRDefault="007B163A" w:rsidP="007B163A">
              <w:pPr>
                <w:spacing w:after="0" w:line="240" w:lineRule="auto"/>
                <w:rPr>
                  <w:b/>
                  <w:bCs/>
                  <w:u w:val="single"/>
                </w:rPr>
              </w:pPr>
              <w:r w:rsidRPr="00325034">
                <w:rPr>
                  <w:b/>
                  <w:bCs/>
                  <w:u w:val="single"/>
                </w:rPr>
                <w:t xml:space="preserve">Λαμβάνοντας υπόψη ότι: </w:t>
              </w:r>
            </w:p>
            <w:p w14:paraId="5FB0FD6B" w14:textId="24BB29CC" w:rsidR="00002259" w:rsidRDefault="007B163A" w:rsidP="00002259">
              <w:pPr>
                <w:pStyle w:val="a9"/>
                <w:numPr>
                  <w:ilvl w:val="0"/>
                  <w:numId w:val="17"/>
                </w:numPr>
                <w:tabs>
                  <w:tab w:val="left" w:pos="142"/>
                </w:tabs>
                <w:spacing w:after="160" w:line="240" w:lineRule="auto"/>
                <w:ind w:left="0" w:firstLine="0"/>
              </w:pPr>
              <w:r>
                <w:t>η</w:t>
              </w:r>
              <w:r w:rsidRPr="000C0893">
                <w:t xml:space="preserve"> </w:t>
              </w:r>
              <w:r w:rsidRPr="000C0893">
                <w:rPr>
                  <w:rFonts w:eastAsiaTheme="minorHAnsi"/>
                </w:rPr>
                <w:t xml:space="preserve">Σύμβαση των Ηνωμένων Εθνών για τα Δικαιώματα των Ατόμων με Αναπηρίες, </w:t>
              </w:r>
              <w:r>
                <w:t xml:space="preserve">κυρωθείσα </w:t>
              </w:r>
              <w:r w:rsidRPr="000C0893">
                <w:rPr>
                  <w:rFonts w:eastAsiaTheme="minorHAnsi"/>
                </w:rPr>
                <w:t xml:space="preserve">από την Ελληνική Βουλή με τον ν. 4074/2012, </w:t>
              </w:r>
              <w:r w:rsidRPr="000C0893">
                <w:t xml:space="preserve">αν και </w:t>
              </w:r>
              <w:r w:rsidRPr="000C0893">
                <w:rPr>
                  <w:rFonts w:eastAsiaTheme="minorHAnsi"/>
                </w:rPr>
                <w:t xml:space="preserve">δεν περιλαμβάνει ρητή αναφορά ή ξεχωριστό άρθρο στα δικαιώματα των ατόμων με αναπηρία ως καταναλωτών, </w:t>
              </w:r>
              <w:r w:rsidRPr="00E72563">
                <w:t>κατοχυρώνει το δικαίωμά τους για ισότιμη πρόσβαση στην αγορά αγαθών και υπηρεσιών</w:t>
              </w:r>
              <w:r w:rsidRPr="000C0893">
                <w:rPr>
                  <w:rFonts w:eastAsiaTheme="minorHAnsi"/>
                </w:rPr>
                <w:t>.</w:t>
              </w:r>
              <w:r w:rsidRPr="000C0893">
                <w:t xml:space="preserve"> </w:t>
              </w:r>
              <w:r w:rsidRPr="000C0893">
                <w:rPr>
                  <w:rFonts w:eastAsiaTheme="minorHAnsi"/>
                </w:rPr>
                <w:t xml:space="preserve">Πιο συγκεκριμένα: </w:t>
              </w:r>
              <w:proofErr w:type="spellStart"/>
              <w:r w:rsidRPr="000C0893">
                <w:rPr>
                  <w:rFonts w:eastAsiaTheme="minorHAnsi"/>
                  <w:lang w:val="en-US"/>
                </w:rPr>
                <w:t>i</w:t>
              </w:r>
              <w:proofErr w:type="spellEnd"/>
              <w:r w:rsidRPr="000C0893">
                <w:rPr>
                  <w:rFonts w:eastAsiaTheme="minorHAnsi"/>
                </w:rPr>
                <w:t xml:space="preserve">) το Άρθρο 5 απαγορεύει κάθε </w:t>
              </w:r>
              <w:r>
                <w:t xml:space="preserve">μορφή </w:t>
              </w:r>
              <w:r w:rsidRPr="000C0893">
                <w:rPr>
                  <w:rFonts w:eastAsiaTheme="minorHAnsi"/>
                </w:rPr>
                <w:t>διάκριση</w:t>
              </w:r>
              <w:r>
                <w:t>ς</w:t>
              </w:r>
              <w:r w:rsidRPr="000C0893">
                <w:rPr>
                  <w:rFonts w:eastAsiaTheme="minorHAnsi"/>
                </w:rPr>
                <w:t xml:space="preserve"> σε βάρος των ατόμων με αναπηρία, συμπεριλαμβανομένων και αυτών που σχετίζονται με την πρόσβαση σε αγαθά και υπηρεσίες, </w:t>
              </w:r>
              <w:r w:rsidRPr="000C0893">
                <w:rPr>
                  <w:rFonts w:eastAsiaTheme="minorHAnsi"/>
                  <w:lang w:val="en-US"/>
                </w:rPr>
                <w:t>ii</w:t>
              </w:r>
              <w:r w:rsidRPr="000C0893">
                <w:rPr>
                  <w:rFonts w:eastAsiaTheme="minorHAnsi"/>
                </w:rPr>
                <w:t xml:space="preserve">) το Άρθρο 9 </w:t>
              </w:r>
              <w:r>
                <w:t xml:space="preserve">επιβάλλει τη λήψη μέτρων </w:t>
              </w:r>
              <w:r w:rsidRPr="000C0893">
                <w:rPr>
                  <w:rFonts w:eastAsiaTheme="minorHAnsi"/>
                </w:rPr>
                <w:t xml:space="preserve">για την ισότιμη πρόσβαση των ατόμων με αναπηρία στο φυσικό περιβάλλον, τα μέσα  μεταφοράς, την πληροφορία και τις επικοινωνίες, </w:t>
              </w:r>
              <w:r w:rsidRPr="00E72563">
                <w:t>καθώς και σε κάθε υπηρεσία που παρέχεται στο κοινό</w:t>
              </w:r>
              <w:r>
                <w:t xml:space="preserve">, </w:t>
              </w:r>
              <w:r w:rsidRPr="000C0893">
                <w:rPr>
                  <w:rFonts w:eastAsiaTheme="minorHAnsi"/>
                  <w:lang w:val="en-US"/>
                </w:rPr>
                <w:t>iii</w:t>
              </w:r>
              <w:r w:rsidRPr="000C0893">
                <w:rPr>
                  <w:rFonts w:eastAsiaTheme="minorHAnsi"/>
                </w:rPr>
                <w:t>)</w:t>
              </w:r>
              <w:r>
                <w:t xml:space="preserve"> </w:t>
              </w:r>
              <w:r w:rsidRPr="000C0893">
                <w:rPr>
                  <w:rFonts w:eastAsiaTheme="minorHAnsi"/>
                </w:rPr>
                <w:t xml:space="preserve">το Άρθρο 12 κατοχυρώνει την ικανότητα των ατόμων με αναπηρία για δικαιοπραξία, παρέχοντάς τους τη δυνατότητα, με την κατάλληλη υποστήριξη, </w:t>
              </w:r>
              <w:r>
                <w:t xml:space="preserve">να συνάπτουν συμβάσεις και να συμμετέχουν </w:t>
              </w:r>
              <w:r w:rsidRPr="000C0893">
                <w:rPr>
                  <w:rFonts w:eastAsiaTheme="minorHAnsi"/>
                </w:rPr>
                <w:t xml:space="preserve">σε οικονομικές συναλλαγές, </w:t>
              </w:r>
              <w:r w:rsidRPr="000C0893">
                <w:rPr>
                  <w:rFonts w:eastAsiaTheme="minorHAnsi"/>
                  <w:lang w:val="en-US"/>
                </w:rPr>
                <w:t>iv</w:t>
              </w:r>
              <w:r w:rsidRPr="000C0893">
                <w:rPr>
                  <w:rFonts w:eastAsiaTheme="minorHAnsi"/>
                </w:rPr>
                <w:t xml:space="preserve">) το Άρθρο 19 αναγνωρίζει το δικαίωμα των ατόμων με αναπηρία στην ανεξάρτητη διαβίωση και κοινωνική ένταξη, και καλεί τα συμβαλλόμενα κράτη να λάβουν μέτρα προκειμένου να διασφαλιστεί η ισότιμη πρόσβαση των ατόμων με αναπηρία σε καταστήματα, κοινοτικές υπηρεσίες και εγκαταστάσεις, </w:t>
              </w:r>
              <w:r w:rsidRPr="006646F5">
                <w:rPr>
                  <w:rFonts w:eastAsiaTheme="minorHAnsi"/>
                </w:rPr>
                <w:t>v</w:t>
              </w:r>
              <w:r w:rsidRPr="000C0893">
                <w:rPr>
                  <w:rFonts w:eastAsiaTheme="minorHAnsi"/>
                </w:rPr>
                <w:t xml:space="preserve">) το Άρθρο 20 </w:t>
              </w:r>
              <w:r>
                <w:t>ε</w:t>
              </w:r>
              <w:r w:rsidRPr="006646F5">
                <w:t>πιβάλλει τη διευκόλυνση πρόσβασης σε βοηθήματα κινητικότητας, υποστηρικτικές συσκευές και τεχνολογίες σε προσιτό κόστος</w:t>
              </w:r>
              <w:r w:rsidRPr="000C0893">
                <w:rPr>
                  <w:rFonts w:eastAsiaTheme="minorHAnsi"/>
                </w:rPr>
                <w:t xml:space="preserve">, </w:t>
              </w:r>
              <w:proofErr w:type="spellStart"/>
              <w:r w:rsidRPr="006646F5">
                <w:rPr>
                  <w:rFonts w:eastAsiaTheme="minorHAnsi"/>
                </w:rPr>
                <w:t>vi</w:t>
              </w:r>
              <w:proofErr w:type="spellEnd"/>
              <w:r w:rsidRPr="000C0893">
                <w:rPr>
                  <w:rFonts w:eastAsiaTheme="minorHAnsi"/>
                </w:rPr>
                <w:t xml:space="preserve">) το Άρθρο 21 </w:t>
              </w:r>
              <w:r w:rsidRPr="006646F5">
                <w:t>κατοχυρώνει το δικαίωμα πρόσβασης σε πληροφορίες που προορίζονται για το κοινό σε προσβάσιμες μορφές και τεχνολογίες</w:t>
              </w:r>
              <w:r w:rsidRPr="000C0893">
                <w:rPr>
                  <w:rFonts w:eastAsiaTheme="minorHAnsi"/>
                </w:rPr>
                <w:t xml:space="preserve">, </w:t>
              </w:r>
              <w:proofErr w:type="spellStart"/>
              <w:r w:rsidRPr="006646F5">
                <w:rPr>
                  <w:rFonts w:eastAsiaTheme="minorHAnsi"/>
                </w:rPr>
                <w:lastRenderedPageBreak/>
                <w:t>vii</w:t>
              </w:r>
              <w:proofErr w:type="spellEnd"/>
              <w:r w:rsidRPr="000C0893">
                <w:rPr>
                  <w:rFonts w:eastAsiaTheme="minorHAnsi"/>
                </w:rPr>
                <w:t xml:space="preserve">)  το Άρθρο 30 διασφαλίζει </w:t>
              </w:r>
              <w:r w:rsidRPr="00D2773C">
                <w:t>την ισότιμη συμμετοχή στην πολιτιστική ζωή, την αναψυχή, τον ελεύθερο χρόνο και τον αθλητισμό</w:t>
              </w:r>
              <w:r>
                <w:t xml:space="preserve">,  </w:t>
              </w:r>
            </w:p>
            <w:p w14:paraId="621F76BD" w14:textId="77777777" w:rsidR="0032418D" w:rsidRPr="00E72563" w:rsidRDefault="0032418D" w:rsidP="0032418D">
              <w:pPr>
                <w:pStyle w:val="a9"/>
                <w:tabs>
                  <w:tab w:val="left" w:pos="142"/>
                </w:tabs>
                <w:spacing w:after="160" w:line="240" w:lineRule="auto"/>
                <w:ind w:left="0"/>
              </w:pPr>
            </w:p>
            <w:p w14:paraId="5CB7B126" w14:textId="74000FA6" w:rsidR="00002259" w:rsidRDefault="007B163A" w:rsidP="00002259">
              <w:pPr>
                <w:pStyle w:val="a9"/>
                <w:numPr>
                  <w:ilvl w:val="0"/>
                  <w:numId w:val="17"/>
                </w:numPr>
                <w:tabs>
                  <w:tab w:val="left" w:pos="284"/>
                </w:tabs>
                <w:spacing w:after="160" w:line="240" w:lineRule="auto"/>
                <w:ind w:left="0" w:firstLine="0"/>
              </w:pPr>
              <w:r>
                <w:t xml:space="preserve">σύμφωνα με την </w:t>
              </w:r>
              <w:r w:rsidRPr="000C0893">
                <w:t>παρ. 1 του άρθρου 61 του ν.4488/2017</w:t>
              </w:r>
              <w:r>
                <w:t xml:space="preserve"> </w:t>
              </w:r>
              <w:r w:rsidRPr="000C0893">
                <w:rPr>
                  <w:i/>
                  <w:iCs/>
                </w:rPr>
                <w:t>«1. Κάθε φυσικό πρόσωπο ή νομικό πρόσωπο δημοσίου ή ιδιωτικού δικαίου υποχρεούται να διασφαλίζει την ισότιμη άσκηση των δικαιωμάτων των  ατόμων με αναπηρία στο πεδίο των αρμοδιοτήτων ή δραστηριοτήτων του, λαμβάνοντας κάθε πρόσφορο μέτρο και απέχοντας από οποιαδήποτε ενέργεια ή πρακτική που ενδέχεται να θίγει την άσκηση των δικαιωμάτων των ατόμων με αναπηρία. Ιδίως υποχρεούται: α) να αφαιρεί υφιστάμενα εμπόδια κάθε είδους, β) να τηρεί τις αρχές καθολικού σχεδιασμού σε κάθε τομέα της αρμοδιότητάς του ή της δραστηριοποίησής του, προκειμένου να διασφαλίζει για τα άτομα με αναπηρία την προσβασιμότητα των υποδομών, των υπηρεσιών ή των αγαθών που προσφέρει, γ) να παρέχει, όπου απαιτείται σε συγκεκριμένη περίπτωση, εύλογες προσαρμογές υπό τη μορφή εξατομικευμένων και κατάλληλων τροποποιήσεων, ρυθμίσεων και ενδεδειγμένων μέτρων, χωρίς την επιβολή δυσανάλογου ή αδικαιολόγητου βάρους, δ) να απέχει από πρακτικές, κριτήρια, συνήθειες και συμπεριφορές που συνεπάγονται διακρίσεις σε βάρος των ατόμων με αναπηρία, ε) να προάγει με θετικά μέτρα την ισότιμη συμμετοχή και άσκηση των δικαιωμάτων των  ατόμων με αναπηρία στον τομέα της αρμοδιότητας ή δραστηριότητάς του»</w:t>
              </w:r>
              <w:r>
                <w:t xml:space="preserve">, </w:t>
              </w:r>
              <w:r w:rsidRPr="000C0893">
                <w:t xml:space="preserve"> </w:t>
              </w:r>
            </w:p>
            <w:p w14:paraId="653504B6" w14:textId="77777777" w:rsidR="0032418D" w:rsidRDefault="0032418D" w:rsidP="0032418D">
              <w:pPr>
                <w:pStyle w:val="a9"/>
                <w:tabs>
                  <w:tab w:val="left" w:pos="284"/>
                </w:tabs>
                <w:spacing w:after="160" w:line="240" w:lineRule="auto"/>
                <w:ind w:left="0"/>
              </w:pPr>
            </w:p>
            <w:p w14:paraId="2C36EEEC" w14:textId="4A6C6112" w:rsidR="00002259" w:rsidRDefault="007B163A" w:rsidP="00002259">
              <w:pPr>
                <w:pStyle w:val="a9"/>
                <w:numPr>
                  <w:ilvl w:val="0"/>
                  <w:numId w:val="17"/>
                </w:numPr>
                <w:tabs>
                  <w:tab w:val="left" w:pos="284"/>
                </w:tabs>
                <w:spacing w:after="160" w:line="240" w:lineRule="auto"/>
                <w:ind w:left="0" w:firstLine="0"/>
              </w:pPr>
              <w:r w:rsidRPr="000737C2">
                <w:t xml:space="preserve">το άρθρο 3 του ν. 5023/2023, </w:t>
              </w:r>
              <w:r>
                <w:t xml:space="preserve">επεκτείνει την </w:t>
              </w:r>
              <w:r w:rsidRPr="000737C2">
                <w:t xml:space="preserve">αρχή της ίσης μεταχείρισης ανεξαρτήτως αναπηρίας ή χρόνιας πάθησης </w:t>
              </w:r>
              <w:r>
                <w:t xml:space="preserve">και στο πεδίο της </w:t>
              </w:r>
              <w:r w:rsidRPr="000737C2">
                <w:t>παροχή</w:t>
              </w:r>
              <w:r>
                <w:t>ς</w:t>
              </w:r>
              <w:r w:rsidRPr="000737C2">
                <w:t xml:space="preserve"> αγαθών και υπηρεσιών που διατίθενται (συναλλακτικά) στο κοινό</w:t>
              </w:r>
              <w:r>
                <w:t xml:space="preserve">, </w:t>
              </w:r>
            </w:p>
            <w:p w14:paraId="060F575E" w14:textId="77777777" w:rsidR="0032418D" w:rsidRPr="0094541D" w:rsidRDefault="0032418D" w:rsidP="0032418D">
              <w:pPr>
                <w:pStyle w:val="a9"/>
                <w:tabs>
                  <w:tab w:val="left" w:pos="284"/>
                </w:tabs>
                <w:spacing w:after="160" w:line="240" w:lineRule="auto"/>
                <w:ind w:left="0"/>
              </w:pPr>
            </w:p>
            <w:p w14:paraId="70594A36" w14:textId="77777777" w:rsidR="007B163A" w:rsidRDefault="007B163A" w:rsidP="007B163A">
              <w:pPr>
                <w:pStyle w:val="a9"/>
                <w:numPr>
                  <w:ilvl w:val="0"/>
                  <w:numId w:val="17"/>
                </w:numPr>
                <w:tabs>
                  <w:tab w:val="left" w:pos="284"/>
                </w:tabs>
                <w:spacing w:after="160" w:line="240" w:lineRule="auto"/>
                <w:ind w:left="0" w:firstLine="0"/>
              </w:pPr>
              <w:r w:rsidRPr="00857E5E">
                <w:t xml:space="preserve">με τον ν. 4994/2022, μέσω του οποίου ενσωματώθηκε στην εθνική μας νομοθεσία η Οδηγία (ΕΕ) 2019/882, γνωστή ως Ευρωπαϊκή Πράξη Προσβασιμότητας, καθορίζονται οι υποχρεώσεις των οικονομικών φορέων ως προς τη διάθεση στην αγορά προσβάσιμων </w:t>
              </w:r>
              <w:r>
                <w:t xml:space="preserve">στα άτομα με αναπηρία </w:t>
              </w:r>
              <w:r w:rsidRPr="00857E5E">
                <w:t>προϊόντων και υπηρεσιών</w:t>
              </w:r>
              <w:r>
                <w:t xml:space="preserve">, </w:t>
              </w:r>
            </w:p>
            <w:p w14:paraId="2C80F074" w14:textId="77777777" w:rsidR="007B163A" w:rsidRPr="00857E5E" w:rsidRDefault="007B163A" w:rsidP="007B163A">
              <w:pPr>
                <w:pStyle w:val="a9"/>
                <w:tabs>
                  <w:tab w:val="left" w:pos="284"/>
                </w:tabs>
                <w:spacing w:line="240" w:lineRule="auto"/>
                <w:ind w:left="0"/>
              </w:pPr>
            </w:p>
            <w:p w14:paraId="7F46ECF2" w14:textId="77777777" w:rsidR="003D17A3" w:rsidRDefault="0075130B" w:rsidP="007B163A">
              <w:pPr>
                <w:pStyle w:val="a9"/>
                <w:tabs>
                  <w:tab w:val="left" w:pos="142"/>
                  <w:tab w:val="left" w:pos="284"/>
                </w:tabs>
                <w:spacing w:line="240" w:lineRule="auto"/>
                <w:ind w:left="0"/>
                <w:rPr>
                  <w:b/>
                  <w:bCs/>
                </w:rPr>
              </w:pPr>
              <w:r>
                <w:rPr>
                  <w:b/>
                  <w:bCs/>
                </w:rPr>
                <w:t>η</w:t>
              </w:r>
              <w:r w:rsidRPr="0075130B">
                <w:rPr>
                  <w:b/>
                  <w:bCs/>
                </w:rPr>
                <w:t xml:space="preserve"> Ε.Σ.Α.μεΑ. προτείνει</w:t>
              </w:r>
              <w:r>
                <w:rPr>
                  <w:b/>
                  <w:bCs/>
                </w:rPr>
                <w:t xml:space="preserve"> </w:t>
              </w:r>
              <w:r w:rsidR="00A45F5E">
                <w:rPr>
                  <w:b/>
                  <w:bCs/>
                </w:rPr>
                <w:t xml:space="preserve">στην υποπερίπτωση </w:t>
              </w:r>
              <w:proofErr w:type="spellStart"/>
              <w:r w:rsidR="00A45F5E">
                <w:rPr>
                  <w:b/>
                  <w:bCs/>
                </w:rPr>
                <w:t>γγ</w:t>
              </w:r>
              <w:proofErr w:type="spellEnd"/>
              <w:r w:rsidR="00A45F5E">
                <w:rPr>
                  <w:b/>
                  <w:bCs/>
                </w:rPr>
                <w:t xml:space="preserve">) της </w:t>
              </w:r>
              <w:r w:rsidRPr="0075130B">
                <w:rPr>
                  <w:b/>
                  <w:bCs/>
                </w:rPr>
                <w:t>παρ. 2 του άρθρου 4 «Αποστολή και αρμοδιότητες της Αρχής»</w:t>
              </w:r>
              <w:r w:rsidR="00CC6551">
                <w:rPr>
                  <w:b/>
                  <w:bCs/>
                </w:rPr>
                <w:t xml:space="preserve"> να </w:t>
              </w:r>
              <w:r w:rsidRPr="0075130B">
                <w:rPr>
                  <w:b/>
                  <w:bCs/>
                </w:rPr>
                <w:t>προστεθεί διάταξη</w:t>
              </w:r>
              <w:r w:rsidR="00002259">
                <w:rPr>
                  <w:b/>
                  <w:bCs/>
                </w:rPr>
                <w:t xml:space="preserve"> με την οποία να προβλέπεται</w:t>
              </w:r>
              <w:r w:rsidR="00231D83">
                <w:rPr>
                  <w:b/>
                  <w:bCs/>
                </w:rPr>
                <w:t xml:space="preserve">: </w:t>
              </w:r>
            </w:p>
            <w:p w14:paraId="2BA6C8E3" w14:textId="77777777" w:rsidR="003D17A3" w:rsidRDefault="003D17A3" w:rsidP="007B163A">
              <w:pPr>
                <w:pStyle w:val="a9"/>
                <w:tabs>
                  <w:tab w:val="left" w:pos="142"/>
                  <w:tab w:val="left" w:pos="284"/>
                </w:tabs>
                <w:spacing w:line="240" w:lineRule="auto"/>
                <w:ind w:left="0"/>
                <w:rPr>
                  <w:b/>
                  <w:bCs/>
                </w:rPr>
              </w:pPr>
            </w:p>
            <w:p w14:paraId="0E18E23F" w14:textId="006167F8" w:rsidR="003D17A3" w:rsidRDefault="00231D83" w:rsidP="007B163A">
              <w:pPr>
                <w:pStyle w:val="a9"/>
                <w:tabs>
                  <w:tab w:val="left" w:pos="142"/>
                  <w:tab w:val="left" w:pos="284"/>
                </w:tabs>
                <w:spacing w:line="240" w:lineRule="auto"/>
                <w:ind w:left="0"/>
                <w:rPr>
                  <w:b/>
                  <w:bCs/>
                </w:rPr>
              </w:pPr>
              <w:r>
                <w:rPr>
                  <w:b/>
                  <w:bCs/>
                </w:rPr>
                <w:t>α)</w:t>
              </w:r>
              <w:r w:rsidR="0075130B" w:rsidRPr="0075130B">
                <w:rPr>
                  <w:b/>
                  <w:bCs/>
                </w:rPr>
                <w:t xml:space="preserve"> </w:t>
              </w:r>
              <w:r w:rsidR="00002259">
                <w:rPr>
                  <w:b/>
                  <w:bCs/>
                </w:rPr>
                <w:t xml:space="preserve">η </w:t>
              </w:r>
              <w:r w:rsidR="0075130B" w:rsidRPr="0075130B">
                <w:rPr>
                  <w:b/>
                  <w:bCs/>
                </w:rPr>
                <w:t xml:space="preserve">παρακολούθηση της εφαρμογής της αρχής της ίσης μεταχείρισης λόγω αναπηρίας ή χρόνιας πάθησης </w:t>
              </w:r>
              <w:r w:rsidR="0075130B">
                <w:rPr>
                  <w:b/>
                  <w:bCs/>
                </w:rPr>
                <w:t xml:space="preserve">στο πεδίο </w:t>
              </w:r>
              <w:r w:rsidR="0075130B" w:rsidRPr="0075130B">
                <w:rPr>
                  <w:b/>
                  <w:bCs/>
                </w:rPr>
                <w:t>της παροχής αγαθών και υπηρεσιών (βλ. άρθρο 3</w:t>
              </w:r>
              <w:r w:rsidR="00A45F5E">
                <w:rPr>
                  <w:b/>
                  <w:bCs/>
                </w:rPr>
                <w:t xml:space="preserve">, </w:t>
              </w:r>
              <w:r w:rsidR="0075130B" w:rsidRPr="0075130B">
                <w:rPr>
                  <w:b/>
                  <w:bCs/>
                </w:rPr>
                <w:t>ν.5023/2023)</w:t>
              </w:r>
              <w:r w:rsidR="0075130B">
                <w:rPr>
                  <w:b/>
                  <w:bCs/>
                </w:rPr>
                <w:t xml:space="preserve">, κατ’ αντιστοιχία με </w:t>
              </w:r>
              <w:r w:rsidR="003D17A3">
                <w:rPr>
                  <w:b/>
                  <w:bCs/>
                </w:rPr>
                <w:t xml:space="preserve">την πρόβλεψη </w:t>
              </w:r>
              <w:r w:rsidR="0075130B">
                <w:rPr>
                  <w:b/>
                  <w:bCs/>
                </w:rPr>
                <w:t xml:space="preserve">που αφορά στην </w:t>
              </w:r>
              <w:r w:rsidR="0075130B" w:rsidRPr="0075130B">
                <w:rPr>
                  <w:b/>
                  <w:bCs/>
                </w:rPr>
                <w:t xml:space="preserve">παρακολούθηση </w:t>
              </w:r>
              <w:r w:rsidR="0075130B">
                <w:rPr>
                  <w:b/>
                  <w:bCs/>
                </w:rPr>
                <w:t xml:space="preserve">της </w:t>
              </w:r>
              <w:r w:rsidR="0075130B" w:rsidRPr="0075130B">
                <w:rPr>
                  <w:b/>
                  <w:bCs/>
                </w:rPr>
                <w:t>εφαρμογή</w:t>
              </w:r>
              <w:r w:rsidR="003D17A3">
                <w:rPr>
                  <w:b/>
                  <w:bCs/>
                </w:rPr>
                <w:t>ς</w:t>
              </w:r>
              <w:r w:rsidR="0075130B" w:rsidRPr="0075130B">
                <w:rPr>
                  <w:b/>
                  <w:bCs/>
                </w:rPr>
                <w:t xml:space="preserve"> </w:t>
              </w:r>
              <w:r w:rsidR="0075130B">
                <w:rPr>
                  <w:b/>
                  <w:bCs/>
                </w:rPr>
                <w:t xml:space="preserve">της </w:t>
              </w:r>
              <w:r w:rsidR="0075130B" w:rsidRPr="0075130B">
                <w:rPr>
                  <w:b/>
                  <w:bCs/>
                </w:rPr>
                <w:t xml:space="preserve">αρχής της ίσης μεταχείρισης </w:t>
              </w:r>
              <w:r w:rsidR="00A45F5E">
                <w:rPr>
                  <w:b/>
                  <w:bCs/>
                </w:rPr>
                <w:t xml:space="preserve">μεταξύ </w:t>
              </w:r>
              <w:r w:rsidR="0075130B" w:rsidRPr="0075130B">
                <w:rPr>
                  <w:b/>
                  <w:bCs/>
                </w:rPr>
                <w:t xml:space="preserve">ανδρών και γυναικών στην πρόσβαση σε αγαθά και υπηρεσίες, </w:t>
              </w:r>
              <w:r w:rsidR="00912724">
                <w:rPr>
                  <w:b/>
                  <w:bCs/>
                </w:rPr>
                <w:t xml:space="preserve">προσδιορίζοντας παράλληλα τον ρόλο </w:t>
              </w:r>
              <w:r w:rsidR="0075130B" w:rsidRPr="0075130B">
                <w:rPr>
                  <w:b/>
                  <w:bCs/>
                </w:rPr>
                <w:t>της Αρχής στην παρακολούθηση της εφαρμογής των διατάξεων του ν.4994/2022 «Ενσωμάτωση της Οδηγίας (ΕΕ) 2019/882 του Ευρωπαϊκού Κοινοβουλίου και του Συμβουλίου της 17ης Απριλίου 2019 σχετικά με τις απαιτήσεις προσβασιμότητας προϊόντων και υπηρεσιών και άλλες επείγουσες διατάξεις για την ενίσχυση της ανάπτυξης»</w:t>
              </w:r>
              <w:r w:rsidR="003D17A3">
                <w:rPr>
                  <w:b/>
                  <w:bCs/>
                </w:rPr>
                <w:t xml:space="preserve">, </w:t>
              </w:r>
              <w:r w:rsidR="00CC6551">
                <w:rPr>
                  <w:b/>
                  <w:bCs/>
                </w:rPr>
                <w:t xml:space="preserve">και </w:t>
              </w:r>
            </w:p>
            <w:p w14:paraId="4AA79E88" w14:textId="77777777" w:rsidR="003D17A3" w:rsidRDefault="003D17A3" w:rsidP="007B163A">
              <w:pPr>
                <w:pStyle w:val="a9"/>
                <w:tabs>
                  <w:tab w:val="left" w:pos="142"/>
                  <w:tab w:val="left" w:pos="284"/>
                </w:tabs>
                <w:spacing w:line="240" w:lineRule="auto"/>
                <w:ind w:left="0"/>
                <w:rPr>
                  <w:b/>
                  <w:bCs/>
                </w:rPr>
              </w:pPr>
            </w:p>
            <w:p w14:paraId="525A7ED6" w14:textId="772366BF" w:rsidR="007B163A" w:rsidRDefault="00231D83" w:rsidP="007B163A">
              <w:pPr>
                <w:pStyle w:val="a9"/>
                <w:tabs>
                  <w:tab w:val="left" w:pos="142"/>
                  <w:tab w:val="left" w:pos="284"/>
                </w:tabs>
                <w:spacing w:line="240" w:lineRule="auto"/>
                <w:ind w:left="0"/>
                <w:rPr>
                  <w:b/>
                  <w:bCs/>
                </w:rPr>
              </w:pPr>
              <w:r>
                <w:rPr>
                  <w:b/>
                  <w:bCs/>
                </w:rPr>
                <w:t>β)</w:t>
              </w:r>
              <w:r w:rsidR="00002259">
                <w:rPr>
                  <w:b/>
                  <w:bCs/>
                </w:rPr>
                <w:t xml:space="preserve"> η</w:t>
              </w:r>
              <w:r w:rsidR="00CC6551">
                <w:rPr>
                  <w:b/>
                  <w:bCs/>
                </w:rPr>
                <w:t xml:space="preserve"> </w:t>
              </w:r>
              <w:r w:rsidR="00CC6551" w:rsidRPr="00CC6551">
                <w:rPr>
                  <w:b/>
                  <w:bCs/>
                </w:rPr>
                <w:t>συνεργασία με την Εθνική Συνομοσπονδία Ατόμων με Αναπηρία (Ε.Σ.Α.μεΑ.)</w:t>
              </w:r>
              <w:r w:rsidR="00F31182">
                <w:rPr>
                  <w:b/>
                  <w:bCs/>
                </w:rPr>
                <w:t xml:space="preserve"> λόγω της πολύχρονης εμπειρίας και τεχνογνωσίας που διαθέτει σε ζητήματα </w:t>
              </w:r>
              <w:r w:rsidR="00C02FCF">
                <w:rPr>
                  <w:b/>
                  <w:bCs/>
                </w:rPr>
                <w:lastRenderedPageBreak/>
                <w:t xml:space="preserve">όπως είναι η </w:t>
              </w:r>
              <w:r w:rsidR="00F31182">
                <w:rPr>
                  <w:b/>
                  <w:bCs/>
                </w:rPr>
                <w:t xml:space="preserve">πρόσβαση, </w:t>
              </w:r>
              <w:r w:rsidR="00C02FCF">
                <w:rPr>
                  <w:b/>
                  <w:bCs/>
                </w:rPr>
                <w:t xml:space="preserve">η </w:t>
              </w:r>
              <w:r w:rsidR="00F31182">
                <w:rPr>
                  <w:b/>
                  <w:bCs/>
                </w:rPr>
                <w:t xml:space="preserve">προσβασιμότητα, </w:t>
              </w:r>
              <w:r w:rsidR="00C02FCF">
                <w:rPr>
                  <w:b/>
                  <w:bCs/>
                </w:rPr>
                <w:t xml:space="preserve">ο </w:t>
              </w:r>
              <w:r w:rsidR="00F31182">
                <w:rPr>
                  <w:b/>
                  <w:bCs/>
                </w:rPr>
                <w:t>καθολικό</w:t>
              </w:r>
              <w:r w:rsidR="00C02FCF">
                <w:rPr>
                  <w:b/>
                  <w:bCs/>
                </w:rPr>
                <w:t>ς</w:t>
              </w:r>
              <w:r w:rsidR="00F31182">
                <w:rPr>
                  <w:b/>
                  <w:bCs/>
                </w:rPr>
                <w:t xml:space="preserve"> σχεδιασμό και τα δικαιώματα των καταναλωτών με αναπηρία. </w:t>
              </w:r>
            </w:p>
            <w:p w14:paraId="302D77FB" w14:textId="77777777" w:rsidR="0075130B" w:rsidRPr="00A220E9" w:rsidRDefault="0075130B" w:rsidP="007B163A">
              <w:pPr>
                <w:pStyle w:val="a9"/>
                <w:tabs>
                  <w:tab w:val="left" w:pos="142"/>
                  <w:tab w:val="left" w:pos="284"/>
                </w:tabs>
                <w:spacing w:line="240" w:lineRule="auto"/>
                <w:ind w:left="0"/>
                <w:rPr>
                  <w:rFonts w:eastAsiaTheme="minorHAnsi" w:cstheme="minorBidi"/>
                  <w:kern w:val="2"/>
                  <w14:ligatures w14:val="standardContextual"/>
                </w:rPr>
              </w:pPr>
            </w:p>
            <w:p w14:paraId="74C0AD88" w14:textId="77777777" w:rsidR="007B163A" w:rsidRPr="00C11C60" w:rsidRDefault="007B163A" w:rsidP="007B163A">
              <w:pPr>
                <w:pStyle w:val="a9"/>
                <w:tabs>
                  <w:tab w:val="left" w:pos="142"/>
                  <w:tab w:val="left" w:pos="284"/>
                </w:tabs>
                <w:spacing w:after="0" w:line="240" w:lineRule="auto"/>
                <w:ind w:left="0"/>
                <w:rPr>
                  <w:u w:val="single"/>
                </w:rPr>
              </w:pPr>
              <w:r w:rsidRPr="00C11C60">
                <w:rPr>
                  <w:u w:val="single"/>
                </w:rPr>
                <w:t xml:space="preserve">Δεδομένου ότι: </w:t>
              </w:r>
            </w:p>
            <w:p w14:paraId="181EB7B1" w14:textId="77777777" w:rsidR="0044369A" w:rsidRDefault="007B163A" w:rsidP="0044369A">
              <w:pPr>
                <w:pStyle w:val="a9"/>
                <w:numPr>
                  <w:ilvl w:val="0"/>
                  <w:numId w:val="20"/>
                </w:numPr>
                <w:tabs>
                  <w:tab w:val="left" w:pos="284"/>
                  <w:tab w:val="left" w:pos="426"/>
                </w:tabs>
                <w:spacing w:after="0" w:line="240" w:lineRule="auto"/>
                <w:ind w:left="284" w:firstLine="0"/>
              </w:pPr>
              <w:r w:rsidRPr="00132F40">
                <w:t xml:space="preserve">η προσβασιμότητα των προϊόντων και υπηρεσιών αποτελεί προϋπόθεση για την </w:t>
              </w:r>
              <w:r>
                <w:t xml:space="preserve">ανεμπόδιστη συμμετοχή των ατόμων με αναπηρία </w:t>
              </w:r>
              <w:r w:rsidRPr="00132F40">
                <w:t xml:space="preserve">στην αγορά, </w:t>
              </w:r>
            </w:p>
            <w:p w14:paraId="2C4CC4AA" w14:textId="77777777" w:rsidR="00FD2660" w:rsidRDefault="00FD2660" w:rsidP="00FD2660">
              <w:pPr>
                <w:pStyle w:val="a9"/>
                <w:tabs>
                  <w:tab w:val="left" w:pos="284"/>
                  <w:tab w:val="left" w:pos="426"/>
                </w:tabs>
                <w:spacing w:after="0" w:line="240" w:lineRule="auto"/>
                <w:ind w:left="284"/>
              </w:pPr>
            </w:p>
            <w:p w14:paraId="22A4C7FE" w14:textId="77777777" w:rsidR="0044369A" w:rsidRDefault="007B163A" w:rsidP="0044369A">
              <w:pPr>
                <w:pStyle w:val="a9"/>
                <w:numPr>
                  <w:ilvl w:val="0"/>
                  <w:numId w:val="20"/>
                </w:numPr>
                <w:tabs>
                  <w:tab w:val="left" w:pos="284"/>
                  <w:tab w:val="left" w:pos="426"/>
                </w:tabs>
                <w:spacing w:after="0" w:line="240" w:lineRule="auto"/>
                <w:ind w:left="284" w:firstLine="0"/>
              </w:pPr>
              <w:r w:rsidRPr="00824FB2">
                <w:t xml:space="preserve">στην παρ. 2 του άρθρου 19 του ν.4994/2022 ορίζεται ως αρμόδια αρχή εποπτείας της αγοράς για τα προϊόντα ως προς τις εφαρμοστέες απαιτήσεις προσβασιμότητας: </w:t>
              </w:r>
              <w:proofErr w:type="spellStart"/>
              <w:r w:rsidRPr="0044369A">
                <w:rPr>
                  <w:lang w:val="en-US"/>
                </w:rPr>
                <w:t>i</w:t>
              </w:r>
              <w:proofErr w:type="spellEnd"/>
              <w:r w:rsidRPr="00824FB2">
                <w:t xml:space="preserve">) η Διεύθυνση Ασφάλειας και Συμμόρφωσης Βιομηχανικών Προϊόντων της Γενικής Γραμματείας Βιομηχανίας του Υπουργείου Ανάπτυξης και Επενδύσεων, για τα προϊόντα των περ. α) και ε) της παρ. 1 του άρθρου 3 και για τα τερματικά πληρωμών και τις αυτόματες ταμειακές μηχανές, </w:t>
              </w:r>
              <w:r w:rsidRPr="0044369A">
                <w:rPr>
                  <w:lang w:val="en-US"/>
                </w:rPr>
                <w:t>ii</w:t>
              </w:r>
              <w:r w:rsidRPr="00824FB2">
                <w:t xml:space="preserve">) η Εθνική Επιτροπή Τηλεπικοινωνιών και Ταχυδρομείων, για τα προϊόντα της περ. γ) της παρ. 1 του άρθρου 3, </w:t>
              </w:r>
              <w:r w:rsidRPr="0044369A">
                <w:rPr>
                  <w:lang w:val="en-US"/>
                </w:rPr>
                <w:t>iii</w:t>
              </w:r>
              <w:r w:rsidRPr="00824FB2">
                <w:t xml:space="preserve">) η Γενική Γραμματεία Μεταφορών του Υπουργείου Υποδομών και Μεταφορών από κοινού με τη Διεύθυνση Ασφάλειας και Συμμόρφωσης Βιομηχανικών Προϊόντων, για τα προϊόντα των στοιχείων ii), iii) και </w:t>
              </w:r>
              <w:proofErr w:type="spellStart"/>
              <w:r w:rsidRPr="00824FB2">
                <w:t>iv</w:t>
              </w:r>
              <w:proofErr w:type="spellEnd"/>
              <w:r w:rsidRPr="00824FB2">
                <w:t xml:space="preserve">) της </w:t>
              </w:r>
              <w:proofErr w:type="spellStart"/>
              <w:r w:rsidRPr="00824FB2">
                <w:t>υποπερ</w:t>
              </w:r>
              <w:proofErr w:type="spellEnd"/>
              <w:r w:rsidRPr="00824FB2">
                <w:t xml:space="preserve">. ββ) της περ. β) της παρ. 1 του άρθρου 3, και </w:t>
              </w:r>
              <w:r w:rsidRPr="0044369A">
                <w:rPr>
                  <w:lang w:val="en-US"/>
                </w:rPr>
                <w:t>iv</w:t>
              </w:r>
              <w:r w:rsidRPr="00824FB2">
                <w:t xml:space="preserve">) το Εθνικό Συμβούλιο Ραδιοτηλεόρασης από κοινού με τη Διεύθυνση Ασφάλειας και Συμμόρφωσης Βιομηχανικών Προϊόντων, για τα προϊόντα της περ. δ) της παρ. 1 του άρθρου 3, </w:t>
              </w:r>
            </w:p>
            <w:p w14:paraId="586A551E" w14:textId="77777777" w:rsidR="00FD2660" w:rsidRDefault="00FD2660" w:rsidP="00FD2660">
              <w:pPr>
                <w:tabs>
                  <w:tab w:val="left" w:pos="284"/>
                  <w:tab w:val="left" w:pos="426"/>
                </w:tabs>
                <w:spacing w:after="0" w:line="240" w:lineRule="auto"/>
              </w:pPr>
            </w:p>
            <w:p w14:paraId="56D2A2E3" w14:textId="77777777" w:rsidR="00F44EDC" w:rsidRDefault="007B163A" w:rsidP="00F44EDC">
              <w:pPr>
                <w:pStyle w:val="a9"/>
                <w:numPr>
                  <w:ilvl w:val="0"/>
                  <w:numId w:val="20"/>
                </w:numPr>
                <w:tabs>
                  <w:tab w:val="left" w:pos="284"/>
                  <w:tab w:val="left" w:pos="426"/>
                </w:tabs>
                <w:spacing w:after="0" w:line="240" w:lineRule="auto"/>
                <w:ind w:left="284" w:firstLine="0"/>
              </w:pPr>
              <w:r w:rsidRPr="00824FB2">
                <w:t xml:space="preserve">σύμφωνα με την παρ. 3 του άρθρου 4 </w:t>
              </w:r>
              <w:r w:rsidRPr="003D17A3">
                <w:rPr>
                  <w:i/>
                  <w:iCs/>
                </w:rPr>
                <w:t>«Γενικές Υποχρεώσεις»</w:t>
              </w:r>
              <w:r w:rsidRPr="00824FB2">
                <w:t xml:space="preserve"> της Σύμβασης των Ηνωμένων Εθνών για τα Δικαιώματα των Ατόμων με Αναπηρίες</w:t>
              </w:r>
              <w:bookmarkStart w:id="7" w:name="systran_seg_42"/>
              <w:r w:rsidRPr="00824FB2">
                <w:t xml:space="preserve">, κατά την ανάπτυξη και εφαρμογή της νομοθεσίας και των πολιτικών, τα κράτη που έχουν κυρώσει τη Σύμβαση, όπως είναι </w:t>
              </w:r>
              <w:r w:rsidR="00CF430E">
                <w:t xml:space="preserve">και </w:t>
              </w:r>
              <w:r w:rsidRPr="00824FB2">
                <w:t>η χώρα μας, οφείλουν να συμβουλεύονται και να εμπλέκουν ενεργά τα άτομα με αναπηρί</w:t>
              </w:r>
              <w:r w:rsidR="009A265E">
                <w:t>α</w:t>
              </w:r>
              <w:r w:rsidRPr="00824FB2">
                <w:t xml:space="preserve"> μέσω των αντιπροσωπευτικών </w:t>
              </w:r>
              <w:bookmarkEnd w:id="7"/>
              <w:r w:rsidRPr="00824FB2">
                <w:t xml:space="preserve">τους οργανώσεων, </w:t>
              </w:r>
            </w:p>
            <w:p w14:paraId="1024F67D" w14:textId="77777777" w:rsidR="00FD2660" w:rsidRDefault="00FD2660" w:rsidP="00FD2660">
              <w:pPr>
                <w:tabs>
                  <w:tab w:val="left" w:pos="284"/>
                  <w:tab w:val="left" w:pos="426"/>
                </w:tabs>
                <w:spacing w:after="0" w:line="240" w:lineRule="auto"/>
              </w:pPr>
            </w:p>
            <w:p w14:paraId="6F8FC047" w14:textId="4AC0859D" w:rsidR="00F44EDC" w:rsidRDefault="00F44EDC" w:rsidP="00F44EDC">
              <w:pPr>
                <w:pStyle w:val="a9"/>
                <w:numPr>
                  <w:ilvl w:val="0"/>
                  <w:numId w:val="20"/>
                </w:numPr>
                <w:tabs>
                  <w:tab w:val="left" w:pos="284"/>
                  <w:tab w:val="left" w:pos="426"/>
                </w:tabs>
                <w:spacing w:after="0" w:line="240" w:lineRule="auto"/>
                <w:ind w:left="284" w:firstLine="0"/>
              </w:pPr>
              <w:r w:rsidRPr="000737C2">
                <w:t xml:space="preserve">το άρθρο 3 του ν. 5023/2023, </w:t>
              </w:r>
              <w:r>
                <w:t xml:space="preserve">επεκτείνει την </w:t>
              </w:r>
              <w:r w:rsidRPr="000737C2">
                <w:t xml:space="preserve">αρχή της ίσης μεταχείρισης ανεξαρτήτως αναπηρίας ή χρόνιας πάθησης </w:t>
              </w:r>
              <w:r>
                <w:t xml:space="preserve">και στο πεδίο της </w:t>
              </w:r>
              <w:r w:rsidRPr="000737C2">
                <w:t>παροχή</w:t>
              </w:r>
              <w:r>
                <w:t>ς</w:t>
              </w:r>
              <w:r w:rsidRPr="000737C2">
                <w:t xml:space="preserve"> αγαθών και υπηρεσιών που διατίθενται (συναλλακτικά) στο κοινό</w:t>
              </w:r>
              <w:r>
                <w:t xml:space="preserve">, </w:t>
              </w:r>
            </w:p>
            <w:p w14:paraId="4FA27CA3" w14:textId="77777777" w:rsidR="00E339B2" w:rsidRDefault="00E339B2" w:rsidP="007B163A">
              <w:pPr>
                <w:tabs>
                  <w:tab w:val="left" w:pos="142"/>
                  <w:tab w:val="left" w:pos="284"/>
                </w:tabs>
                <w:spacing w:after="0" w:line="240" w:lineRule="auto"/>
                <w:rPr>
                  <w:b/>
                  <w:bCs/>
                </w:rPr>
              </w:pPr>
            </w:p>
            <w:p w14:paraId="55B5E1A2" w14:textId="306C8ABC" w:rsidR="00BA5F56" w:rsidRDefault="00A45F5E" w:rsidP="007B163A">
              <w:pPr>
                <w:tabs>
                  <w:tab w:val="left" w:pos="142"/>
                  <w:tab w:val="left" w:pos="284"/>
                </w:tabs>
                <w:spacing w:after="0" w:line="240" w:lineRule="auto"/>
                <w:rPr>
                  <w:b/>
                  <w:bCs/>
                  <w:color w:val="auto"/>
                  <w:u w:val="single"/>
                </w:rPr>
              </w:pPr>
              <w:r w:rsidRPr="00397656">
                <w:rPr>
                  <w:b/>
                  <w:bCs/>
                  <w:u w:val="single"/>
                </w:rPr>
                <w:t xml:space="preserve">προτείνουμε η υπο-περίπτωση </w:t>
              </w:r>
              <w:proofErr w:type="spellStart"/>
              <w:r w:rsidRPr="00397656">
                <w:rPr>
                  <w:b/>
                  <w:bCs/>
                  <w:u w:val="single"/>
                </w:rPr>
                <w:t>γγ</w:t>
              </w:r>
              <w:proofErr w:type="spellEnd"/>
              <w:r w:rsidRPr="00397656">
                <w:rPr>
                  <w:b/>
                  <w:bCs/>
                  <w:u w:val="single"/>
                </w:rPr>
                <w:t xml:space="preserve">) </w:t>
              </w:r>
              <w:r w:rsidR="007B163A" w:rsidRPr="00397656">
                <w:rPr>
                  <w:b/>
                  <w:bCs/>
                  <w:u w:val="single"/>
                </w:rPr>
                <w:t>της παρ. 2 του άρθρου 4</w:t>
              </w:r>
              <w:r w:rsidRPr="00397656">
                <w:rPr>
                  <w:b/>
                  <w:bCs/>
                  <w:u w:val="single"/>
                </w:rPr>
                <w:t xml:space="preserve"> συμπληρωθεί </w:t>
              </w:r>
              <w:r w:rsidR="007B163A" w:rsidRPr="00397656">
                <w:rPr>
                  <w:b/>
                  <w:bCs/>
                  <w:u w:val="single"/>
                </w:rPr>
                <w:t>ως ακολούθως</w:t>
              </w:r>
              <w:r w:rsidR="008E0E6A" w:rsidRPr="00397656">
                <w:rPr>
                  <w:b/>
                  <w:bCs/>
                  <w:u w:val="single"/>
                </w:rPr>
                <w:t xml:space="preserve"> </w:t>
              </w:r>
              <w:r w:rsidR="008E0E6A" w:rsidRPr="00397656">
                <w:rPr>
                  <w:b/>
                  <w:bCs/>
                  <w:color w:val="auto"/>
                  <w:u w:val="single"/>
                </w:rPr>
                <w:t>(βλ. με έντονη γραμματοσειρά)</w:t>
              </w:r>
              <w:r w:rsidR="007B163A" w:rsidRPr="00397656">
                <w:rPr>
                  <w:b/>
                  <w:bCs/>
                  <w:color w:val="auto"/>
                  <w:u w:val="single"/>
                </w:rPr>
                <w:t>:</w:t>
              </w:r>
            </w:p>
            <w:p w14:paraId="6ACD6699" w14:textId="77777777" w:rsidR="001D773A" w:rsidRPr="00397656" w:rsidRDefault="001D773A" w:rsidP="007B163A">
              <w:pPr>
                <w:tabs>
                  <w:tab w:val="left" w:pos="142"/>
                  <w:tab w:val="left" w:pos="284"/>
                </w:tabs>
                <w:spacing w:after="0" w:line="240" w:lineRule="auto"/>
                <w:rPr>
                  <w:b/>
                  <w:bCs/>
                  <w:color w:val="auto"/>
                  <w:u w:val="single"/>
                </w:rPr>
              </w:pPr>
            </w:p>
            <w:p w14:paraId="38DDAB00" w14:textId="77777777" w:rsidR="007B163A" w:rsidRPr="00824FB2" w:rsidRDefault="007B163A" w:rsidP="007B163A">
              <w:pPr>
                <w:tabs>
                  <w:tab w:val="left" w:pos="142"/>
                  <w:tab w:val="left" w:pos="284"/>
                </w:tabs>
                <w:spacing w:after="0" w:line="240" w:lineRule="auto"/>
                <w:rPr>
                  <w:b/>
                  <w:bCs/>
                  <w:i/>
                  <w:iCs/>
                </w:rPr>
              </w:pPr>
              <w:r w:rsidRPr="00824FB2">
                <w:rPr>
                  <w:b/>
                  <w:bCs/>
                  <w:i/>
                  <w:iCs/>
                </w:rPr>
                <w:t>«</w:t>
              </w:r>
              <w:r w:rsidRPr="009A265E">
                <w:rPr>
                  <w:i/>
                  <w:iCs/>
                </w:rPr>
                <w:t>Άρθρο 4 Αποστολή και Αρμοδιότητες της Αρχής</w:t>
              </w:r>
              <w:r w:rsidRPr="00824FB2">
                <w:rPr>
                  <w:b/>
                  <w:bCs/>
                  <w:i/>
                  <w:iCs/>
                </w:rPr>
                <w:t xml:space="preserve"> </w:t>
              </w:r>
            </w:p>
            <w:p w14:paraId="6BC7870C" w14:textId="5683CACB" w:rsidR="00BA5F56" w:rsidRPr="00FD2660" w:rsidRDefault="00BA5F56" w:rsidP="00FD2660">
              <w:pPr>
                <w:tabs>
                  <w:tab w:val="left" w:pos="142"/>
                  <w:tab w:val="left" w:pos="284"/>
                </w:tabs>
                <w:spacing w:after="0" w:line="240" w:lineRule="auto"/>
                <w:rPr>
                  <w:i/>
                  <w:iCs/>
                </w:rPr>
              </w:pPr>
              <w:r w:rsidRPr="00BA5F56">
                <w:rPr>
                  <w:i/>
                  <w:iCs/>
                </w:rPr>
                <w:t>1.</w:t>
              </w:r>
              <w:r>
                <w:rPr>
                  <w:i/>
                  <w:iCs/>
                </w:rPr>
                <w:t xml:space="preserve"> </w:t>
              </w:r>
              <w:r w:rsidR="007B163A" w:rsidRPr="00BA5F56">
                <w:rPr>
                  <w:i/>
                  <w:iCs/>
                </w:rPr>
                <w:t>Η αποστολή της Ανεξάρτητη Αρχής Εποπτείας της Αγοράς και Προστασίας του Καταναλωτή συνίσταται: […]</w:t>
              </w:r>
            </w:p>
            <w:p w14:paraId="36BD3FC8" w14:textId="77777777" w:rsidR="007B163A" w:rsidRPr="00824FB2" w:rsidRDefault="007B163A" w:rsidP="007B163A">
              <w:pPr>
                <w:tabs>
                  <w:tab w:val="left" w:pos="142"/>
                  <w:tab w:val="left" w:pos="284"/>
                </w:tabs>
                <w:spacing w:after="0" w:line="240" w:lineRule="auto"/>
                <w:rPr>
                  <w:i/>
                  <w:iCs/>
                </w:rPr>
              </w:pPr>
              <w:r w:rsidRPr="00824FB2">
                <w:rPr>
                  <w:i/>
                  <w:iCs/>
                </w:rPr>
                <w:t xml:space="preserve">2. Κατά την επιδίωξη της αποστολής, η Αρχή ασκεί τις παρακάτω αρμοδιότητες: </w:t>
              </w:r>
            </w:p>
            <w:p w14:paraId="2CACDBC0" w14:textId="1907A9D6" w:rsidR="00BA5F56" w:rsidRPr="00824FB2" w:rsidRDefault="007B163A" w:rsidP="007B163A">
              <w:pPr>
                <w:tabs>
                  <w:tab w:val="left" w:pos="142"/>
                  <w:tab w:val="left" w:pos="284"/>
                </w:tabs>
                <w:spacing w:after="0" w:line="240" w:lineRule="auto"/>
                <w:rPr>
                  <w:i/>
                  <w:iCs/>
                </w:rPr>
              </w:pPr>
              <w:r w:rsidRPr="00824FB2">
                <w:rPr>
                  <w:i/>
                  <w:iCs/>
                </w:rPr>
                <w:t>α) Αναφορικά με την εποπτεία και τη διασφάλιση της εύρυθμης λειτουργίας της αγοράς: […]</w:t>
              </w:r>
            </w:p>
            <w:p w14:paraId="6D516F03" w14:textId="4D915514" w:rsidR="00494AF5" w:rsidRDefault="00A45F5E" w:rsidP="00494AF5">
              <w:pPr>
                <w:tabs>
                  <w:tab w:val="left" w:pos="142"/>
                  <w:tab w:val="left" w:pos="284"/>
                </w:tabs>
                <w:spacing w:after="0" w:line="240" w:lineRule="auto"/>
                <w:rPr>
                  <w:rFonts w:eastAsiaTheme="minorHAnsi" w:cstheme="minorBidi"/>
                  <w:i/>
                  <w:iCs/>
                  <w:kern w:val="2"/>
                  <w14:ligatures w14:val="standardContextual"/>
                </w:rPr>
              </w:pPr>
              <w:proofErr w:type="spellStart"/>
              <w:r w:rsidRPr="00A45F5E">
                <w:rPr>
                  <w:i/>
                  <w:iCs/>
                </w:rPr>
                <w:t>γγ</w:t>
              </w:r>
              <w:proofErr w:type="spellEnd"/>
              <w:r w:rsidRPr="00A45F5E">
                <w:rPr>
                  <w:i/>
                  <w:iCs/>
                </w:rPr>
                <w:t>)</w:t>
              </w:r>
              <w:r w:rsidRPr="00A45F5E">
                <w:rPr>
                  <w:b/>
                  <w:bCs/>
                  <w:i/>
                  <w:iCs/>
                </w:rPr>
                <w:t xml:space="preserve"> </w:t>
              </w:r>
              <w:r w:rsidRPr="00A45F5E">
                <w:rPr>
                  <w:i/>
                  <w:iCs/>
                </w:rPr>
                <w:t xml:space="preserve">παρακολουθεί την εφαρμογή στον ιδιωτικό τομέα </w:t>
              </w:r>
              <w:r w:rsidRPr="00A45F5E">
                <w:rPr>
                  <w:b/>
                  <w:bCs/>
                  <w:i/>
                  <w:iCs/>
                </w:rPr>
                <w:t>τόσο</w:t>
              </w:r>
              <w:r>
                <w:rPr>
                  <w:i/>
                  <w:iCs/>
                </w:rPr>
                <w:t xml:space="preserve"> </w:t>
              </w:r>
              <w:r w:rsidRPr="00A45F5E">
                <w:rPr>
                  <w:i/>
                  <w:iCs/>
                </w:rPr>
                <w:t>της αρχής της ίσης μεταχείρισης ανδρών και γυναικών στην πρόσβαση σε αγαθά και υπηρεσίες και την παροχή αυτών, κατ’ εφαρμογή του άρθρου 4 του ν. 3769/2009 (Α’ 105)</w:t>
              </w:r>
              <w:r w:rsidR="00BA5F56">
                <w:rPr>
                  <w:i/>
                  <w:iCs/>
                </w:rPr>
                <w:t xml:space="preserve"> </w:t>
              </w:r>
              <w:r w:rsidRPr="00A45F5E">
                <w:rPr>
                  <w:b/>
                  <w:bCs/>
                  <w:i/>
                  <w:iCs/>
                </w:rPr>
                <w:t>όσο και της αρχής</w:t>
              </w:r>
              <w:r>
                <w:rPr>
                  <w:i/>
                  <w:iCs/>
                </w:rPr>
                <w:t xml:space="preserve"> </w:t>
              </w:r>
              <w:r w:rsidRPr="0075130B">
                <w:rPr>
                  <w:b/>
                  <w:bCs/>
                </w:rPr>
                <w:t xml:space="preserve">της ίσης μεταχείρισης λόγω αναπηρίας ή χρόνιας πάθησης </w:t>
              </w:r>
              <w:r>
                <w:rPr>
                  <w:b/>
                  <w:bCs/>
                </w:rPr>
                <w:t xml:space="preserve">στο πεδίο </w:t>
              </w:r>
              <w:r w:rsidRPr="0075130B">
                <w:rPr>
                  <w:b/>
                  <w:bCs/>
                </w:rPr>
                <w:t>της παροχής αγαθών και υπηρεσιών</w:t>
              </w:r>
              <w:r>
                <w:rPr>
                  <w:i/>
                  <w:iCs/>
                </w:rPr>
                <w:t xml:space="preserve">, </w:t>
              </w:r>
              <w:r w:rsidRPr="00A45F5E">
                <w:rPr>
                  <w:b/>
                  <w:bCs/>
                  <w:i/>
                  <w:iCs/>
                </w:rPr>
                <w:t>κατ’ εφαρμογή του άρθρου 3 του ν.5023/2023</w:t>
              </w:r>
              <w:r>
                <w:rPr>
                  <w:b/>
                  <w:bCs/>
                  <w:i/>
                  <w:iCs/>
                </w:rPr>
                <w:t xml:space="preserve"> (Α’34)</w:t>
              </w:r>
              <w:r w:rsidRPr="00A45F5E">
                <w:rPr>
                  <w:b/>
                  <w:bCs/>
                  <w:i/>
                  <w:iCs/>
                </w:rPr>
                <w:t>,</w:t>
              </w:r>
              <w:r>
                <w:rPr>
                  <w:i/>
                  <w:iCs/>
                </w:rPr>
                <w:t xml:space="preserve">  </w:t>
              </w:r>
              <w:r w:rsidR="007B163A" w:rsidRPr="00824FB2">
                <w:rPr>
                  <w:b/>
                  <w:bCs/>
                  <w:i/>
                  <w:iCs/>
                </w:rPr>
                <w:t xml:space="preserve">εποπτεύει τις αρμόδιες αρχές εποπτείας της αγοράς της παρ. 2 του άρθρου 19 του ν.4994/2022 και </w:t>
              </w:r>
              <w:r w:rsidR="007B163A" w:rsidRPr="00824FB2">
                <w:rPr>
                  <w:rFonts w:eastAsiaTheme="minorHAnsi" w:cstheme="minorBidi"/>
                  <w:b/>
                  <w:bCs/>
                  <w:i/>
                  <w:iCs/>
                  <w:kern w:val="2"/>
                  <w14:ligatures w14:val="standardContextual"/>
                </w:rPr>
                <w:t xml:space="preserve">συνεργάζεται με την Εθνική Συνομοσπονδία Ατόμων με Αναπηρία </w:t>
              </w:r>
              <w:r w:rsidR="007B163A" w:rsidRPr="00824FB2">
                <w:rPr>
                  <w:rFonts w:eastAsiaTheme="minorHAnsi" w:cstheme="minorBidi"/>
                  <w:b/>
                  <w:bCs/>
                  <w:i/>
                  <w:iCs/>
                  <w:kern w:val="2"/>
                  <w14:ligatures w14:val="standardContextual"/>
                </w:rPr>
                <w:lastRenderedPageBreak/>
                <w:t xml:space="preserve">(Ε.Σ.Α.μεΑ.) </w:t>
              </w:r>
              <w:r w:rsidR="008E2D87">
                <w:rPr>
                  <w:rFonts w:eastAsiaTheme="minorHAnsi" w:cstheme="minorBidi"/>
                  <w:b/>
                  <w:bCs/>
                  <w:i/>
                  <w:iCs/>
                  <w:kern w:val="2"/>
                  <w14:ligatures w14:val="standardContextual"/>
                </w:rPr>
                <w:t xml:space="preserve">με σκοπό την προστασία </w:t>
              </w:r>
              <w:r w:rsidR="007B163A" w:rsidRPr="00824FB2">
                <w:rPr>
                  <w:b/>
                  <w:bCs/>
                  <w:i/>
                  <w:iCs/>
                </w:rPr>
                <w:t xml:space="preserve">και προώθηση </w:t>
              </w:r>
              <w:r w:rsidR="007B163A" w:rsidRPr="00824FB2">
                <w:rPr>
                  <w:rFonts w:eastAsiaTheme="minorHAnsi" w:cstheme="minorBidi"/>
                  <w:b/>
                  <w:bCs/>
                  <w:i/>
                  <w:iCs/>
                  <w:kern w:val="2"/>
                  <w14:ligatures w14:val="standardContextual"/>
                </w:rPr>
                <w:t>των δικαιωμάτων των καταναλωτών με αναπηρία</w:t>
              </w:r>
              <w:r w:rsidR="005E0537">
                <w:rPr>
                  <w:rFonts w:eastAsiaTheme="minorHAnsi" w:cstheme="minorBidi"/>
                  <w:b/>
                  <w:bCs/>
                  <w:i/>
                  <w:iCs/>
                  <w:kern w:val="2"/>
                  <w14:ligatures w14:val="standardContextual"/>
                </w:rPr>
                <w:t xml:space="preserve"> […]</w:t>
              </w:r>
              <w:r w:rsidR="007B163A" w:rsidRPr="00824FB2">
                <w:rPr>
                  <w:rFonts w:eastAsiaTheme="minorHAnsi" w:cstheme="minorBidi"/>
                  <w:i/>
                  <w:iCs/>
                  <w:kern w:val="2"/>
                  <w14:ligatures w14:val="standardContextual"/>
                </w:rPr>
                <w:t>».</w:t>
              </w:r>
            </w:p>
            <w:p w14:paraId="7E93F6AA" w14:textId="77777777" w:rsidR="00F31182" w:rsidRDefault="00F31182" w:rsidP="00494AF5">
              <w:pPr>
                <w:tabs>
                  <w:tab w:val="left" w:pos="142"/>
                  <w:tab w:val="left" w:pos="284"/>
                </w:tabs>
                <w:spacing w:after="0" w:line="240" w:lineRule="auto"/>
                <w:rPr>
                  <w:rFonts w:eastAsiaTheme="minorHAnsi" w:cstheme="minorBidi"/>
                  <w:i/>
                  <w:iCs/>
                  <w:kern w:val="2"/>
                  <w14:ligatures w14:val="standardContextual"/>
                </w:rPr>
              </w:pPr>
            </w:p>
            <w:p w14:paraId="381A59B8" w14:textId="77777777" w:rsidR="00C02FCF" w:rsidRDefault="00C02FCF" w:rsidP="006B3225">
              <w:r>
                <w:t xml:space="preserve">Ελπίζοντας στη θετική ανταπόκρισή σας. </w:t>
              </w:r>
            </w:p>
            <w:p w14:paraId="74C091A0" w14:textId="3C4181B9" w:rsidR="00091240" w:rsidRDefault="00000000" w:rsidP="006B3225"/>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3B64C239">
                        <wp:extent cx="2514599" cy="1371600"/>
                        <wp:effectExtent l="0" t="0" r="635"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514599"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510963"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510963">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5FF62AF9">
                <wp:extent cx="1568769" cy="741599"/>
                <wp:effectExtent l="0" t="0" r="0"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568769" cy="741599"/>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51B33465" w14:textId="62EDFA4E" w:rsidR="006F7F12" w:rsidRDefault="006F7F12" w:rsidP="00CD362F">
              <w:pPr>
                <w:pStyle w:val="Bullets0"/>
                <w:rPr>
                  <w:rStyle w:val="BulletsChar"/>
                </w:rPr>
              </w:pPr>
              <w:r>
                <w:t>κ.</w:t>
              </w:r>
              <w:r w:rsidRPr="007B163A">
                <w:t xml:space="preserve"> </w:t>
              </w:r>
              <w:r>
                <w:t>Π. Θεοδωρικάκο, Υπουργό Ανάπτυξης</w:t>
              </w:r>
            </w:p>
            <w:p w14:paraId="6D8AC29C" w14:textId="436696C7" w:rsidR="00CD362F" w:rsidRDefault="001A69D0" w:rsidP="00CD362F">
              <w:pPr>
                <w:pStyle w:val="Bullets0"/>
                <w:rPr>
                  <w:rStyle w:val="BulletsChar"/>
                </w:rPr>
              </w:pPr>
              <w:r>
                <w:rPr>
                  <w:rStyle w:val="BulletsChar"/>
                </w:rPr>
                <w:t>κ</w:t>
              </w:r>
              <w:r w:rsidR="006E447A">
                <w:rPr>
                  <w:rStyle w:val="BulletsChar"/>
                </w:rPr>
                <w:t xml:space="preserve">α Δ.-Μ. Μιχαηλίδου, </w:t>
              </w:r>
              <w:r>
                <w:rPr>
                  <w:rStyle w:val="BulletsChar"/>
                </w:rPr>
                <w:t xml:space="preserve">Υπουργό Κοινωνικής Συνοχής και Οικογένειας </w:t>
              </w:r>
            </w:p>
            <w:p w14:paraId="0C1124EB" w14:textId="342F70F6" w:rsidR="00CD362F" w:rsidRDefault="001A69D0" w:rsidP="001A69D0">
              <w:pPr>
                <w:pStyle w:val="Bullets0"/>
                <w:rPr>
                  <w:rStyle w:val="BulletsChar"/>
                </w:rPr>
              </w:pPr>
              <w:r>
                <w:rPr>
                  <w:rStyle w:val="BulletsChar"/>
                </w:rPr>
                <w:t>κ</w:t>
              </w:r>
              <w:r w:rsidR="00CD362F">
                <w:rPr>
                  <w:rStyle w:val="BulletsChar"/>
                </w:rPr>
                <w:t xml:space="preserve">. </w:t>
              </w:r>
              <w:r>
                <w:rPr>
                  <w:rStyle w:val="BulletsChar"/>
                </w:rPr>
                <w:t>Χ-Γ. Σκέρτσο</w:t>
              </w:r>
              <w:r w:rsidR="00CD362F">
                <w:rPr>
                  <w:rStyle w:val="BulletsChar"/>
                </w:rPr>
                <w:t xml:space="preserve">, Υπουργό Επικρατείας </w:t>
              </w:r>
              <w:r>
                <w:rPr>
                  <w:rStyle w:val="BulletsChar"/>
                </w:rPr>
                <w:t xml:space="preserve">&amp; Συντονιστικό Μηχανισμό για </w:t>
              </w:r>
              <w:r w:rsidRPr="001A69D0">
                <w:rPr>
                  <w:rStyle w:val="BulletsChar"/>
                </w:rPr>
                <w:t>τα Δικαιώματα των Ατόμων με Αναπηρία, σύμφωνα με το άρθρο 69 του ν. 4488/2017</w:t>
              </w:r>
              <w:r>
                <w:rPr>
                  <w:rStyle w:val="BulletsChar"/>
                </w:rPr>
                <w:t xml:space="preserve"> </w:t>
              </w:r>
            </w:p>
            <w:p w14:paraId="21BB0719" w14:textId="1CAE77A8" w:rsidR="000220BC" w:rsidRDefault="000220BC" w:rsidP="001A69D0">
              <w:pPr>
                <w:pStyle w:val="Bullets0"/>
                <w:rPr>
                  <w:rStyle w:val="BulletsChar"/>
                </w:rPr>
              </w:pPr>
              <w:r>
                <w:rPr>
                  <w:rStyle w:val="BulletsChar"/>
                </w:rPr>
                <w:t xml:space="preserve">κ. Σ. Αναγνωστόπουλο, Γενικό Γραμματέα Εμπορίου  </w:t>
              </w:r>
            </w:p>
            <w:p w14:paraId="36EBFE62" w14:textId="5E71602D" w:rsidR="004835DD" w:rsidRDefault="004835DD" w:rsidP="001A69D0">
              <w:pPr>
                <w:pStyle w:val="Bullets0"/>
                <w:rPr>
                  <w:rStyle w:val="BulletsChar"/>
                </w:rPr>
              </w:pPr>
              <w:r>
                <w:rPr>
                  <w:rStyle w:val="BulletsChar"/>
                </w:rPr>
                <w:t xml:space="preserve">Πρόεδρο και Μέλη Εθνικής Αρχής Προσβασιμότητας </w:t>
              </w:r>
            </w:p>
            <w:p w14:paraId="0076CF6F" w14:textId="198C58E7" w:rsidR="00E339B2" w:rsidRDefault="00E339B2" w:rsidP="001A69D0">
              <w:pPr>
                <w:pStyle w:val="Bullets0"/>
                <w:rPr>
                  <w:rStyle w:val="BulletsChar"/>
                </w:rPr>
              </w:pPr>
              <w:r>
                <w:rPr>
                  <w:rStyle w:val="BulletsChar"/>
                </w:rPr>
                <w:t xml:space="preserve">Οργανώσεις- Μέλη Ε.Σ.Α.μεΑ. </w:t>
              </w:r>
            </w:p>
            <w:p w14:paraId="634655BF" w14:textId="1F9BF9EA" w:rsidR="002D0AB7" w:rsidRPr="000E2BB8" w:rsidRDefault="00000000" w:rsidP="00CD362F">
              <w:pPr>
                <w:pStyle w:val="Bullets0"/>
                <w:numPr>
                  <w:ilvl w:val="0"/>
                  <w:numId w:val="0"/>
                </w:numPr>
                <w:ind w:left="272"/>
              </w:pPr>
            </w:p>
          </w:sdtContent>
        </w:sdt>
      </w:sdtContent>
    </w:sdt>
    <w:p w14:paraId="1C54635F" w14:textId="77777777" w:rsidR="00CD3CE2" w:rsidRDefault="00CD3CE2" w:rsidP="00CD3CE2"/>
    <w:bookmarkStart w:id="16"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6"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EF1EA" w14:textId="77777777" w:rsidR="00DD46C4" w:rsidRDefault="00DD46C4" w:rsidP="00A5663B">
      <w:pPr>
        <w:spacing w:after="0" w:line="240" w:lineRule="auto"/>
      </w:pPr>
      <w:r>
        <w:separator/>
      </w:r>
    </w:p>
    <w:p w14:paraId="2E03608C" w14:textId="77777777" w:rsidR="00DD46C4" w:rsidRDefault="00DD46C4"/>
  </w:endnote>
  <w:endnote w:type="continuationSeparator" w:id="0">
    <w:p w14:paraId="36653742" w14:textId="77777777" w:rsidR="00DD46C4" w:rsidRDefault="00DD46C4" w:rsidP="00A5663B">
      <w:pPr>
        <w:spacing w:after="0" w:line="240" w:lineRule="auto"/>
      </w:pPr>
      <w:r>
        <w:continuationSeparator/>
      </w:r>
    </w:p>
    <w:p w14:paraId="6405ABC7" w14:textId="77777777" w:rsidR="00DD46C4" w:rsidRDefault="00DD4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A8CEB" w14:textId="77777777" w:rsidR="00DD46C4" w:rsidRDefault="00DD46C4" w:rsidP="00A5663B">
      <w:pPr>
        <w:spacing w:after="0" w:line="240" w:lineRule="auto"/>
      </w:pPr>
      <w:bookmarkStart w:id="0" w:name="_Hlk484772647"/>
      <w:bookmarkEnd w:id="0"/>
      <w:r>
        <w:separator/>
      </w:r>
    </w:p>
    <w:p w14:paraId="6ABCE44B" w14:textId="77777777" w:rsidR="00DD46C4" w:rsidRDefault="00DD46C4"/>
  </w:footnote>
  <w:footnote w:type="continuationSeparator" w:id="0">
    <w:p w14:paraId="65DA7148" w14:textId="77777777" w:rsidR="00DD46C4" w:rsidRDefault="00DD46C4" w:rsidP="00A5663B">
      <w:pPr>
        <w:spacing w:after="0" w:line="240" w:lineRule="auto"/>
      </w:pPr>
      <w:r>
        <w:continuationSeparator/>
      </w:r>
    </w:p>
    <w:p w14:paraId="0838C5AE" w14:textId="77777777" w:rsidR="00DD46C4" w:rsidRDefault="00DD46C4"/>
  </w:footnote>
  <w:footnote w:id="1">
    <w:p w14:paraId="48EBE168" w14:textId="77777777" w:rsidR="007B163A" w:rsidRPr="00F1789A" w:rsidRDefault="007B163A" w:rsidP="007B163A">
      <w:pPr>
        <w:pStyle w:val="af8"/>
        <w:rPr>
          <w:sz w:val="18"/>
          <w:szCs w:val="18"/>
        </w:rPr>
      </w:pPr>
      <w:r>
        <w:rPr>
          <w:rStyle w:val="af9"/>
        </w:rPr>
        <w:footnoteRef/>
      </w:r>
      <w:r>
        <w:t xml:space="preserve"> </w:t>
      </w:r>
      <w:r w:rsidRPr="007B163A">
        <w:rPr>
          <w:sz w:val="18"/>
          <w:szCs w:val="18"/>
        </w:rPr>
        <w:t>Σύμφωνα με τα τελευταία διαθέσιμα στοιχεία, ο αριθμός των ατόμων με μέτρια και σοβαρή αναπηρία ανέρχεται σε 2.012.975, που αντιστοιχεί στο 23,1% του πληθυσμού της χώρας. Βλ. Έρευνα Εισοδήματος και Συνθηκών Διαβίωσης των Νοικοκυριών έτους 2023 (EU-SILC 2023). Επεξεργασία Στοιχείων: Παρατηρητήριο Θεμάτων Αναπηρίας της Ε.Σ.Α.μεΑ.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D65"/>
    <w:multiLevelType w:val="hybridMultilevel"/>
    <w:tmpl w:val="9F80A3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64299"/>
    <w:multiLevelType w:val="hybridMultilevel"/>
    <w:tmpl w:val="3BF8EF5E"/>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 w15:restartNumberingAfterBreak="0">
    <w:nsid w:val="0F572CC2"/>
    <w:multiLevelType w:val="hybridMultilevel"/>
    <w:tmpl w:val="E91A1DCC"/>
    <w:lvl w:ilvl="0" w:tplc="E3A4A282">
      <w:start w:val="1"/>
      <w:numFmt w:val="decimal"/>
      <w:lvlText w:val="%1."/>
      <w:lvlJc w:val="left"/>
      <w:pPr>
        <w:ind w:left="720" w:hanging="360"/>
      </w:pPr>
      <w:rPr>
        <w:rFonts w:eastAsiaTheme="minorHAnsi" w:cstheme="minorBid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3A0268E"/>
    <w:multiLevelType w:val="hybridMultilevel"/>
    <w:tmpl w:val="B41E86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6" w15:restartNumberingAfterBreak="0">
    <w:nsid w:val="1DF85D7D"/>
    <w:multiLevelType w:val="multilevel"/>
    <w:tmpl w:val="B1800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9" w15:restartNumberingAfterBreak="0">
    <w:nsid w:val="3F8B7E60"/>
    <w:multiLevelType w:val="hybridMultilevel"/>
    <w:tmpl w:val="70723F7C"/>
    <w:lvl w:ilvl="0" w:tplc="04080011">
      <w:start w:val="1"/>
      <w:numFmt w:val="decimal"/>
      <w:lvlText w:val="%1)"/>
      <w:lvlJc w:val="left"/>
      <w:pPr>
        <w:ind w:left="8865"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4FE13E4C"/>
    <w:multiLevelType w:val="hybridMultilevel"/>
    <w:tmpl w:val="F5C046F2"/>
    <w:lvl w:ilvl="0" w:tplc="F40644AC">
      <w:start w:val="1"/>
      <w:numFmt w:val="decimal"/>
      <w:lvlText w:val="%1."/>
      <w:lvlJc w:val="left"/>
      <w:pPr>
        <w:ind w:left="720" w:hanging="360"/>
      </w:pPr>
      <w:rPr>
        <w:rFonts w:eastAsiaTheme="minorHAnsi" w:cstheme="minorBidi"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77B55ED"/>
    <w:multiLevelType w:val="hybridMultilevel"/>
    <w:tmpl w:val="78108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91135BA"/>
    <w:multiLevelType w:val="hybridMultilevel"/>
    <w:tmpl w:val="B2D2ADE4"/>
    <w:lvl w:ilvl="0" w:tplc="A2A07EB6">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B464E23"/>
    <w:multiLevelType w:val="hybridMultilevel"/>
    <w:tmpl w:val="FB080F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C523C3D"/>
    <w:multiLevelType w:val="hybridMultilevel"/>
    <w:tmpl w:val="17649EF6"/>
    <w:lvl w:ilvl="0" w:tplc="B0A65234">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E914B9E"/>
    <w:multiLevelType w:val="hybridMultilevel"/>
    <w:tmpl w:val="4C8CFE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708069898">
    <w:abstractNumId w:val="18"/>
  </w:num>
  <w:num w:numId="2" w16cid:durableId="1538548428">
    <w:abstractNumId w:val="18"/>
  </w:num>
  <w:num w:numId="3" w16cid:durableId="588463678">
    <w:abstractNumId w:val="18"/>
  </w:num>
  <w:num w:numId="4" w16cid:durableId="1871528574">
    <w:abstractNumId w:val="18"/>
  </w:num>
  <w:num w:numId="5" w16cid:durableId="332150141">
    <w:abstractNumId w:val="18"/>
  </w:num>
  <w:num w:numId="6" w16cid:durableId="1516529658">
    <w:abstractNumId w:val="18"/>
  </w:num>
  <w:num w:numId="7" w16cid:durableId="1379935653">
    <w:abstractNumId w:val="18"/>
  </w:num>
  <w:num w:numId="8" w16cid:durableId="367680043">
    <w:abstractNumId w:val="18"/>
  </w:num>
  <w:num w:numId="9" w16cid:durableId="1837914574">
    <w:abstractNumId w:val="18"/>
  </w:num>
  <w:num w:numId="10" w16cid:durableId="1643198270">
    <w:abstractNumId w:val="15"/>
  </w:num>
  <w:num w:numId="11" w16cid:durableId="541478507">
    <w:abstractNumId w:val="14"/>
  </w:num>
  <w:num w:numId="12" w16cid:durableId="1804493697">
    <w:abstractNumId w:val="8"/>
  </w:num>
  <w:num w:numId="13" w16cid:durableId="1137147432">
    <w:abstractNumId w:val="5"/>
  </w:num>
  <w:num w:numId="14" w16cid:durableId="903874813">
    <w:abstractNumId w:val="1"/>
  </w:num>
  <w:num w:numId="15" w16cid:durableId="579875033">
    <w:abstractNumId w:val="7"/>
  </w:num>
  <w:num w:numId="16" w16cid:durableId="813719644">
    <w:abstractNumId w:val="9"/>
  </w:num>
  <w:num w:numId="17" w16cid:durableId="271742369">
    <w:abstractNumId w:val="0"/>
  </w:num>
  <w:num w:numId="18" w16cid:durableId="1697733409">
    <w:abstractNumId w:val="16"/>
  </w:num>
  <w:num w:numId="19" w16cid:durableId="627396873">
    <w:abstractNumId w:val="2"/>
  </w:num>
  <w:num w:numId="20" w16cid:durableId="1295866604">
    <w:abstractNumId w:val="11"/>
  </w:num>
  <w:num w:numId="21" w16cid:durableId="968705660">
    <w:abstractNumId w:val="12"/>
  </w:num>
  <w:num w:numId="22" w16cid:durableId="1427771700">
    <w:abstractNumId w:val="6"/>
  </w:num>
  <w:num w:numId="23" w16cid:durableId="2055081977">
    <w:abstractNumId w:val="10"/>
  </w:num>
  <w:num w:numId="24" w16cid:durableId="1968269321">
    <w:abstractNumId w:val="17"/>
  </w:num>
  <w:num w:numId="25" w16cid:durableId="1962370888">
    <w:abstractNumId w:val="3"/>
  </w:num>
  <w:num w:numId="26" w16cid:durableId="2058777831">
    <w:abstractNumId w:val="4"/>
  </w:num>
  <w:num w:numId="27" w16cid:durableId="6509054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2259"/>
    <w:rsid w:val="00005679"/>
    <w:rsid w:val="000102EC"/>
    <w:rsid w:val="00011187"/>
    <w:rsid w:val="000145EC"/>
    <w:rsid w:val="00016434"/>
    <w:rsid w:val="000220BC"/>
    <w:rsid w:val="000224C1"/>
    <w:rsid w:val="00024AA5"/>
    <w:rsid w:val="000319B3"/>
    <w:rsid w:val="0003631E"/>
    <w:rsid w:val="000416FA"/>
    <w:rsid w:val="00042CAA"/>
    <w:rsid w:val="00042D86"/>
    <w:rsid w:val="000470FE"/>
    <w:rsid w:val="0006740A"/>
    <w:rsid w:val="00080A75"/>
    <w:rsid w:val="0008214A"/>
    <w:rsid w:val="00085B32"/>
    <w:rsid w:val="000864B5"/>
    <w:rsid w:val="00091240"/>
    <w:rsid w:val="00091F54"/>
    <w:rsid w:val="000A4C66"/>
    <w:rsid w:val="000A5463"/>
    <w:rsid w:val="000C0865"/>
    <w:rsid w:val="000C099E"/>
    <w:rsid w:val="000C14DF"/>
    <w:rsid w:val="000C602B"/>
    <w:rsid w:val="000D34E2"/>
    <w:rsid w:val="000D3D70"/>
    <w:rsid w:val="000E2BB8"/>
    <w:rsid w:val="000E30A0"/>
    <w:rsid w:val="000E44E8"/>
    <w:rsid w:val="000F237D"/>
    <w:rsid w:val="000F4280"/>
    <w:rsid w:val="00104FD0"/>
    <w:rsid w:val="001213C4"/>
    <w:rsid w:val="0016039E"/>
    <w:rsid w:val="00161A35"/>
    <w:rsid w:val="00162CAE"/>
    <w:rsid w:val="001864F8"/>
    <w:rsid w:val="001A1BBD"/>
    <w:rsid w:val="001A62AD"/>
    <w:rsid w:val="001A67BA"/>
    <w:rsid w:val="001A69D0"/>
    <w:rsid w:val="001A74B0"/>
    <w:rsid w:val="001B3428"/>
    <w:rsid w:val="001B4AEB"/>
    <w:rsid w:val="001B7832"/>
    <w:rsid w:val="001C3746"/>
    <w:rsid w:val="001D5FC4"/>
    <w:rsid w:val="001D773A"/>
    <w:rsid w:val="001E177F"/>
    <w:rsid w:val="001E439E"/>
    <w:rsid w:val="001F1161"/>
    <w:rsid w:val="002058AF"/>
    <w:rsid w:val="002251AF"/>
    <w:rsid w:val="00231D83"/>
    <w:rsid w:val="00236A27"/>
    <w:rsid w:val="002468DD"/>
    <w:rsid w:val="00255DD0"/>
    <w:rsid w:val="002570E4"/>
    <w:rsid w:val="00264E1B"/>
    <w:rsid w:val="0026597B"/>
    <w:rsid w:val="0027672E"/>
    <w:rsid w:val="002A7CCC"/>
    <w:rsid w:val="002B43D6"/>
    <w:rsid w:val="002C4134"/>
    <w:rsid w:val="002D0AB7"/>
    <w:rsid w:val="002D1046"/>
    <w:rsid w:val="00301E00"/>
    <w:rsid w:val="003071D9"/>
    <w:rsid w:val="00322A0B"/>
    <w:rsid w:val="0032418D"/>
    <w:rsid w:val="00326F43"/>
    <w:rsid w:val="00330485"/>
    <w:rsid w:val="003336F9"/>
    <w:rsid w:val="003364CB"/>
    <w:rsid w:val="00337205"/>
    <w:rsid w:val="0034662F"/>
    <w:rsid w:val="00361404"/>
    <w:rsid w:val="00361C69"/>
    <w:rsid w:val="003663A3"/>
    <w:rsid w:val="00371AFA"/>
    <w:rsid w:val="00377BA8"/>
    <w:rsid w:val="00391C8C"/>
    <w:rsid w:val="00391F0D"/>
    <w:rsid w:val="003956F9"/>
    <w:rsid w:val="00397656"/>
    <w:rsid w:val="003B245B"/>
    <w:rsid w:val="003B3E78"/>
    <w:rsid w:val="003B6AC5"/>
    <w:rsid w:val="003D17A3"/>
    <w:rsid w:val="003D4D14"/>
    <w:rsid w:val="003D73D0"/>
    <w:rsid w:val="003E38C4"/>
    <w:rsid w:val="003F789B"/>
    <w:rsid w:val="004102B2"/>
    <w:rsid w:val="00412BB7"/>
    <w:rsid w:val="00413626"/>
    <w:rsid w:val="0041446D"/>
    <w:rsid w:val="00415D99"/>
    <w:rsid w:val="00421FA4"/>
    <w:rsid w:val="00427C1E"/>
    <w:rsid w:val="00434F97"/>
    <w:rsid w:val="004355A3"/>
    <w:rsid w:val="0044369A"/>
    <w:rsid w:val="004443A9"/>
    <w:rsid w:val="004551DF"/>
    <w:rsid w:val="00460D81"/>
    <w:rsid w:val="00472CFE"/>
    <w:rsid w:val="004835DD"/>
    <w:rsid w:val="00483ACE"/>
    <w:rsid w:val="00486A3F"/>
    <w:rsid w:val="00494AF5"/>
    <w:rsid w:val="004A2EF2"/>
    <w:rsid w:val="004A6201"/>
    <w:rsid w:val="004C6B12"/>
    <w:rsid w:val="004D0BE2"/>
    <w:rsid w:val="004D5A2F"/>
    <w:rsid w:val="004E1212"/>
    <w:rsid w:val="00501973"/>
    <w:rsid w:val="005077D6"/>
    <w:rsid w:val="00510963"/>
    <w:rsid w:val="00517354"/>
    <w:rsid w:val="0052064A"/>
    <w:rsid w:val="00523EAA"/>
    <w:rsid w:val="00540ED2"/>
    <w:rsid w:val="0054146D"/>
    <w:rsid w:val="00545948"/>
    <w:rsid w:val="00545F0E"/>
    <w:rsid w:val="00547D78"/>
    <w:rsid w:val="00554A64"/>
    <w:rsid w:val="00573B0A"/>
    <w:rsid w:val="0058273F"/>
    <w:rsid w:val="00583700"/>
    <w:rsid w:val="00585691"/>
    <w:rsid w:val="005925BA"/>
    <w:rsid w:val="005956CD"/>
    <w:rsid w:val="005A4542"/>
    <w:rsid w:val="005B00C5"/>
    <w:rsid w:val="005B661B"/>
    <w:rsid w:val="005C5A0B"/>
    <w:rsid w:val="005D05EE"/>
    <w:rsid w:val="005D2B1C"/>
    <w:rsid w:val="005D30F3"/>
    <w:rsid w:val="005D44A7"/>
    <w:rsid w:val="005D7048"/>
    <w:rsid w:val="005E0537"/>
    <w:rsid w:val="005F5A54"/>
    <w:rsid w:val="00610A7E"/>
    <w:rsid w:val="00612214"/>
    <w:rsid w:val="00616AB3"/>
    <w:rsid w:val="00617AC0"/>
    <w:rsid w:val="00634370"/>
    <w:rsid w:val="00642AA7"/>
    <w:rsid w:val="00647299"/>
    <w:rsid w:val="00651CD5"/>
    <w:rsid w:val="00655019"/>
    <w:rsid w:val="0066741D"/>
    <w:rsid w:val="00697982"/>
    <w:rsid w:val="006A785A"/>
    <w:rsid w:val="006B6CBE"/>
    <w:rsid w:val="006D0554"/>
    <w:rsid w:val="006D354B"/>
    <w:rsid w:val="006D7667"/>
    <w:rsid w:val="006E447A"/>
    <w:rsid w:val="006E692F"/>
    <w:rsid w:val="006E6B93"/>
    <w:rsid w:val="006F050F"/>
    <w:rsid w:val="006F68D0"/>
    <w:rsid w:val="006F7F12"/>
    <w:rsid w:val="0072145A"/>
    <w:rsid w:val="00724A78"/>
    <w:rsid w:val="00742EC6"/>
    <w:rsid w:val="0075130B"/>
    <w:rsid w:val="00752538"/>
    <w:rsid w:val="00754C30"/>
    <w:rsid w:val="00763FCD"/>
    <w:rsid w:val="00767D09"/>
    <w:rsid w:val="0077016C"/>
    <w:rsid w:val="00796580"/>
    <w:rsid w:val="007A781F"/>
    <w:rsid w:val="007B163A"/>
    <w:rsid w:val="007C14A0"/>
    <w:rsid w:val="007E36E4"/>
    <w:rsid w:val="007E66D9"/>
    <w:rsid w:val="007F34DB"/>
    <w:rsid w:val="007F77CE"/>
    <w:rsid w:val="0080787B"/>
    <w:rsid w:val="008104A7"/>
    <w:rsid w:val="00811A9B"/>
    <w:rsid w:val="0082394C"/>
    <w:rsid w:val="008321C9"/>
    <w:rsid w:val="0083359D"/>
    <w:rsid w:val="00840FC1"/>
    <w:rsid w:val="00842387"/>
    <w:rsid w:val="00857467"/>
    <w:rsid w:val="008644C3"/>
    <w:rsid w:val="00876B17"/>
    <w:rsid w:val="00880266"/>
    <w:rsid w:val="00886205"/>
    <w:rsid w:val="00890E52"/>
    <w:rsid w:val="008960BB"/>
    <w:rsid w:val="008A26A3"/>
    <w:rsid w:val="008A421B"/>
    <w:rsid w:val="008B3278"/>
    <w:rsid w:val="008B5B34"/>
    <w:rsid w:val="008C3A9C"/>
    <w:rsid w:val="008D3726"/>
    <w:rsid w:val="008D43B9"/>
    <w:rsid w:val="008E0E6A"/>
    <w:rsid w:val="008E2D87"/>
    <w:rsid w:val="008F4A49"/>
    <w:rsid w:val="0091190C"/>
    <w:rsid w:val="00912724"/>
    <w:rsid w:val="0093332D"/>
    <w:rsid w:val="00936BAC"/>
    <w:rsid w:val="0094421E"/>
    <w:rsid w:val="0094541D"/>
    <w:rsid w:val="009503E0"/>
    <w:rsid w:val="00953909"/>
    <w:rsid w:val="00955FA9"/>
    <w:rsid w:val="00972E62"/>
    <w:rsid w:val="009770E1"/>
    <w:rsid w:val="00980425"/>
    <w:rsid w:val="00995C38"/>
    <w:rsid w:val="009A0DF6"/>
    <w:rsid w:val="009A265E"/>
    <w:rsid w:val="009A4192"/>
    <w:rsid w:val="009B3183"/>
    <w:rsid w:val="009C06F7"/>
    <w:rsid w:val="009C4D45"/>
    <w:rsid w:val="009E6773"/>
    <w:rsid w:val="009F51D4"/>
    <w:rsid w:val="00A04D49"/>
    <w:rsid w:val="00A0512E"/>
    <w:rsid w:val="00A05FCF"/>
    <w:rsid w:val="00A22C33"/>
    <w:rsid w:val="00A24A4D"/>
    <w:rsid w:val="00A32253"/>
    <w:rsid w:val="00A35350"/>
    <w:rsid w:val="00A417A6"/>
    <w:rsid w:val="00A45F5E"/>
    <w:rsid w:val="00A47C12"/>
    <w:rsid w:val="00A5663B"/>
    <w:rsid w:val="00A66F36"/>
    <w:rsid w:val="00A73369"/>
    <w:rsid w:val="00A8235C"/>
    <w:rsid w:val="00A84AE4"/>
    <w:rsid w:val="00A862B1"/>
    <w:rsid w:val="00A90B3F"/>
    <w:rsid w:val="00AB2576"/>
    <w:rsid w:val="00AC0D27"/>
    <w:rsid w:val="00AC2E53"/>
    <w:rsid w:val="00AC766E"/>
    <w:rsid w:val="00AD13AB"/>
    <w:rsid w:val="00AF66C4"/>
    <w:rsid w:val="00AF7DE7"/>
    <w:rsid w:val="00B01AB1"/>
    <w:rsid w:val="00B02D0E"/>
    <w:rsid w:val="00B03F7E"/>
    <w:rsid w:val="00B14597"/>
    <w:rsid w:val="00B24CE3"/>
    <w:rsid w:val="00B24F28"/>
    <w:rsid w:val="00B25CDE"/>
    <w:rsid w:val="00B30846"/>
    <w:rsid w:val="00B343FA"/>
    <w:rsid w:val="00B4479D"/>
    <w:rsid w:val="00B50ABE"/>
    <w:rsid w:val="00B55602"/>
    <w:rsid w:val="00B621B5"/>
    <w:rsid w:val="00B73A9A"/>
    <w:rsid w:val="00B926D1"/>
    <w:rsid w:val="00B92A91"/>
    <w:rsid w:val="00B977C3"/>
    <w:rsid w:val="00BA5F56"/>
    <w:rsid w:val="00BD105C"/>
    <w:rsid w:val="00BE04D8"/>
    <w:rsid w:val="00BE52FC"/>
    <w:rsid w:val="00BE6103"/>
    <w:rsid w:val="00BF7928"/>
    <w:rsid w:val="00C0166C"/>
    <w:rsid w:val="00C02FCF"/>
    <w:rsid w:val="00C04B0C"/>
    <w:rsid w:val="00C11C60"/>
    <w:rsid w:val="00C13744"/>
    <w:rsid w:val="00C21874"/>
    <w:rsid w:val="00C2350C"/>
    <w:rsid w:val="00C243A1"/>
    <w:rsid w:val="00C31308"/>
    <w:rsid w:val="00C32FBB"/>
    <w:rsid w:val="00C4571F"/>
    <w:rsid w:val="00C45E7E"/>
    <w:rsid w:val="00C46534"/>
    <w:rsid w:val="00C55583"/>
    <w:rsid w:val="00C73F9D"/>
    <w:rsid w:val="00C80445"/>
    <w:rsid w:val="00C82ED9"/>
    <w:rsid w:val="00C83F4F"/>
    <w:rsid w:val="00C864D7"/>
    <w:rsid w:val="00C90057"/>
    <w:rsid w:val="00C929EE"/>
    <w:rsid w:val="00CA1AE3"/>
    <w:rsid w:val="00CA3674"/>
    <w:rsid w:val="00CC22AC"/>
    <w:rsid w:val="00CC59F5"/>
    <w:rsid w:val="00CC62E9"/>
    <w:rsid w:val="00CC6551"/>
    <w:rsid w:val="00CD337A"/>
    <w:rsid w:val="00CD362F"/>
    <w:rsid w:val="00CD3CE2"/>
    <w:rsid w:val="00CD6D05"/>
    <w:rsid w:val="00CE0328"/>
    <w:rsid w:val="00CE366F"/>
    <w:rsid w:val="00CE5FF4"/>
    <w:rsid w:val="00CE6289"/>
    <w:rsid w:val="00CF0E8A"/>
    <w:rsid w:val="00CF430E"/>
    <w:rsid w:val="00D0092C"/>
    <w:rsid w:val="00D00AC1"/>
    <w:rsid w:val="00D01C51"/>
    <w:rsid w:val="00D11B9D"/>
    <w:rsid w:val="00D14800"/>
    <w:rsid w:val="00D25975"/>
    <w:rsid w:val="00D429F2"/>
    <w:rsid w:val="00D4303F"/>
    <w:rsid w:val="00D43376"/>
    <w:rsid w:val="00D4455A"/>
    <w:rsid w:val="00D44953"/>
    <w:rsid w:val="00D54CA1"/>
    <w:rsid w:val="00D7519B"/>
    <w:rsid w:val="00D92411"/>
    <w:rsid w:val="00D96426"/>
    <w:rsid w:val="00DA319E"/>
    <w:rsid w:val="00DA5411"/>
    <w:rsid w:val="00DB0E18"/>
    <w:rsid w:val="00DB2FC8"/>
    <w:rsid w:val="00DC13F2"/>
    <w:rsid w:val="00DC4FCC"/>
    <w:rsid w:val="00DC64B0"/>
    <w:rsid w:val="00DD1D03"/>
    <w:rsid w:val="00DD46C4"/>
    <w:rsid w:val="00DD7797"/>
    <w:rsid w:val="00DE0BD8"/>
    <w:rsid w:val="00DE3DAF"/>
    <w:rsid w:val="00DE5B8D"/>
    <w:rsid w:val="00DE62F3"/>
    <w:rsid w:val="00DF27F7"/>
    <w:rsid w:val="00E01689"/>
    <w:rsid w:val="00E018A8"/>
    <w:rsid w:val="00E1672B"/>
    <w:rsid w:val="00E16B7C"/>
    <w:rsid w:val="00E206BA"/>
    <w:rsid w:val="00E22772"/>
    <w:rsid w:val="00E339B2"/>
    <w:rsid w:val="00E357D4"/>
    <w:rsid w:val="00E40395"/>
    <w:rsid w:val="00E429AD"/>
    <w:rsid w:val="00E55813"/>
    <w:rsid w:val="00E63208"/>
    <w:rsid w:val="00E70687"/>
    <w:rsid w:val="00E71701"/>
    <w:rsid w:val="00E72589"/>
    <w:rsid w:val="00E776F1"/>
    <w:rsid w:val="00E9152E"/>
    <w:rsid w:val="00E922F5"/>
    <w:rsid w:val="00EC68E6"/>
    <w:rsid w:val="00ED565E"/>
    <w:rsid w:val="00ED5D12"/>
    <w:rsid w:val="00EE0F94"/>
    <w:rsid w:val="00EE2D26"/>
    <w:rsid w:val="00EE38B1"/>
    <w:rsid w:val="00EE3C29"/>
    <w:rsid w:val="00EE6171"/>
    <w:rsid w:val="00EE65BD"/>
    <w:rsid w:val="00EF2662"/>
    <w:rsid w:val="00EF31D5"/>
    <w:rsid w:val="00EF66B1"/>
    <w:rsid w:val="00F02B8E"/>
    <w:rsid w:val="00F071B9"/>
    <w:rsid w:val="00F10CA3"/>
    <w:rsid w:val="00F21A91"/>
    <w:rsid w:val="00F21B29"/>
    <w:rsid w:val="00F239E9"/>
    <w:rsid w:val="00F31182"/>
    <w:rsid w:val="00F42CC8"/>
    <w:rsid w:val="00F44EDC"/>
    <w:rsid w:val="00F641DD"/>
    <w:rsid w:val="00F64D51"/>
    <w:rsid w:val="00F736BA"/>
    <w:rsid w:val="00F76532"/>
    <w:rsid w:val="00F80939"/>
    <w:rsid w:val="00F81009"/>
    <w:rsid w:val="00F84821"/>
    <w:rsid w:val="00F97D08"/>
    <w:rsid w:val="00FA015E"/>
    <w:rsid w:val="00FA55E7"/>
    <w:rsid w:val="00FC61EC"/>
    <w:rsid w:val="00FC692B"/>
    <w:rsid w:val="00FD26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aliases w:val="Heading A,Γράφημα,Itemize,Bullet21,Bullet22,Bullet23,Bullet211,Bullet24,Bullet25,Bullet26,Bullet27,bl11,Bullet212,Bullet28,bl12,Bullet213,Bullet29,bl13,Bullet214,Bullet210,Bullet215,Liste à puces retrait droite,Bullet List,List1,bl1"/>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aliases w:val="Heading A Char,Γράφημα Char,Itemize Char,Bullet21 Char,Bullet22 Char,Bullet23 Char,Bullet211 Char,Bullet24 Char,Bullet25 Char,Bullet26 Char,Bullet27 Char,bl11 Char,Bullet212 Char,Bullet28 Char,bl12 Char,Bullet213 Char,bl13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iPriority w:val="99"/>
    <w:unhideWhenUsed/>
    <w:rsid w:val="00510963"/>
    <w:rPr>
      <w:color w:val="0000FF" w:themeColor="hyperlink"/>
      <w:u w:val="single"/>
    </w:rPr>
  </w:style>
  <w:style w:type="paragraph" w:styleId="af8">
    <w:name w:val="footnote text"/>
    <w:basedOn w:val="a0"/>
    <w:link w:val="Charb"/>
    <w:uiPriority w:val="99"/>
    <w:semiHidden/>
    <w:unhideWhenUsed/>
    <w:rsid w:val="00510963"/>
    <w:pPr>
      <w:spacing w:after="0" w:line="240" w:lineRule="auto"/>
    </w:pPr>
    <w:rPr>
      <w:sz w:val="20"/>
      <w:szCs w:val="20"/>
    </w:rPr>
  </w:style>
  <w:style w:type="character" w:customStyle="1" w:styleId="Charb">
    <w:name w:val="Κείμενο υποσημείωσης Char"/>
    <w:basedOn w:val="a1"/>
    <w:link w:val="af8"/>
    <w:uiPriority w:val="99"/>
    <w:semiHidden/>
    <w:rsid w:val="00510963"/>
    <w:rPr>
      <w:rFonts w:ascii="Cambria" w:hAnsi="Cambria"/>
      <w:color w:val="000000"/>
    </w:rPr>
  </w:style>
  <w:style w:type="character" w:styleId="af9">
    <w:name w:val="footnote reference"/>
    <w:basedOn w:val="a1"/>
    <w:uiPriority w:val="99"/>
    <w:semiHidden/>
    <w:unhideWhenUsed/>
    <w:rsid w:val="00510963"/>
    <w:rPr>
      <w:vertAlign w:val="superscript"/>
    </w:rPr>
  </w:style>
  <w:style w:type="paragraph" w:styleId="Web">
    <w:name w:val="Normal (Web)"/>
    <w:basedOn w:val="a0"/>
    <w:uiPriority w:val="99"/>
    <w:unhideWhenUsed/>
    <w:rsid w:val="007B163A"/>
    <w:pPr>
      <w:spacing w:before="100" w:beforeAutospacing="1" w:after="100" w:afterAutospacing="1" w:line="240" w:lineRule="auto"/>
      <w:jc w:val="left"/>
    </w:pPr>
    <w:rPr>
      <w:rFonts w:ascii="Times New Roman" w:hAnsi="Times New Roman"/>
      <w:color w:val="auto"/>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www.opengov.g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2637A0" w:rsidRDefault="008F21FC">
          <w:pPr>
            <w:pStyle w:val="5D9BFB90C21748AF8E4FF57AF84DBE6E"/>
          </w:pPr>
          <w:r w:rsidRPr="004D0BE2">
            <w:rPr>
              <w:rStyle w:val="a3"/>
              <w:color w:val="0070C0"/>
            </w:rPr>
            <w:t>Όνομα και επώνυμο.</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2637A0"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2637A0"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2637A0"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2637A0"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2637A0"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2637A0"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2637A0"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2637A0"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2637A0"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2637A0"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2637A0"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2637A0"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15A16"/>
    <w:rsid w:val="002637A0"/>
    <w:rsid w:val="00616AB3"/>
    <w:rsid w:val="006D354B"/>
    <w:rsid w:val="008F21FC"/>
    <w:rsid w:val="00A53C3F"/>
    <w:rsid w:val="00A756AE"/>
    <w:rsid w:val="00AC7921"/>
    <w:rsid w:val="00C94FEF"/>
    <w:rsid w:val="00D62875"/>
    <w:rsid w:val="00E64D06"/>
    <w:rsid w:val="00ED565E"/>
    <w:rsid w:val="00ED7F05"/>
    <w:rsid w:val="00F10C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1026</TotalTime>
  <Pages>5</Pages>
  <Words>1712</Words>
  <Characters>9249</Characters>
  <Application>Microsoft Office Word</Application>
  <DocSecurity>0</DocSecurity>
  <Lines>77</Lines>
  <Paragraphs>21</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2025-11-19T11:05:00Z</cp:lastPrinted>
  <dcterms:created xsi:type="dcterms:W3CDTF">2025-11-25T06:46:00Z</dcterms:created>
  <dcterms:modified xsi:type="dcterms:W3CDTF">2025-11-25T06:46:00Z</dcterms:modified>
  <cp:contentStatus/>
  <dc:language>Ελληνικά</dc:language>
  <cp:version>am-20180624</cp:version>
</cp:coreProperties>
</file>