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9D1E" w14:textId="3A14DE6E" w:rsidR="00B41AF4" w:rsidRPr="000B2523" w:rsidRDefault="006F29FD" w:rsidP="00BF5F3D">
      <w:pPr>
        <w:jc w:val="center"/>
      </w:pPr>
      <w:r w:rsidRPr="000B2523">
        <w:rPr>
          <w:noProof/>
        </w:rPr>
        <mc:AlternateContent>
          <mc:Choice Requires="wps">
            <w:drawing>
              <wp:anchor distT="0" distB="0" distL="0" distR="0" simplePos="0" relativeHeight="251657216" behindDoc="1" locked="0" layoutInCell="0" allowOverlap="1" wp14:anchorId="75429BF4" wp14:editId="1765DD00">
                <wp:simplePos x="0" y="0"/>
                <wp:positionH relativeFrom="page">
                  <wp:posOffset>6769100</wp:posOffset>
                </wp:positionH>
                <wp:positionV relativeFrom="page">
                  <wp:posOffset>10081260</wp:posOffset>
                </wp:positionV>
                <wp:extent cx="648335" cy="396875"/>
                <wp:effectExtent l="0" t="3810" r="3175" b="0"/>
                <wp:wrapNone/>
                <wp:docPr id="1" name="Text Box 17"/>
                <wp:cNvGraphicFramePr/>
                <a:graphic xmlns:a="http://schemas.openxmlformats.org/drawingml/2006/main">
                  <a:graphicData uri="http://schemas.microsoft.com/office/word/2010/wordprocessingShape">
                    <wps:wsp>
                      <wps:cNvSpPr/>
                      <wps:spPr>
                        <a:xfrm>
                          <a:off x="0" y="0"/>
                          <a:ext cx="64764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15CDC83A" w14:textId="77777777" w:rsidR="00B41AF4" w:rsidRPr="000B2523" w:rsidRDefault="006F29FD">
                            <w:pPr>
                              <w:jc w:val="center"/>
                              <w:rPr>
                                <w:rFonts w:ascii="Arial" w:hAnsi="Arial" w:cs="Arial"/>
                                <w:b/>
                                <w:bCs/>
                                <w:sz w:val="48"/>
                              </w:rPr>
                            </w:pPr>
                            <w:r w:rsidRPr="000B2523">
                              <w:rPr>
                                <w:rFonts w:ascii="Arial" w:hAnsi="Arial"/>
                                <w:b/>
                                <w:sz w:val="48"/>
                              </w:rPr>
                              <w:t>EL</w:t>
                            </w:r>
                          </w:p>
                        </w:txbxContent>
                      </wps:txbx>
                      <wps:bodyPr>
                        <a:noAutofit/>
                      </wps:bodyPr>
                    </wps:wsp>
                  </a:graphicData>
                </a:graphic>
              </wp:anchor>
            </w:drawing>
          </mc:Choice>
          <mc:Fallback>
            <w:pict>
              <v:rect w14:anchorId="75429BF4" id="Text Box 17" o:spid="_x0000_s1026" style="position:absolute;left:0;text-align:left;margin-left:533pt;margin-top:793.8pt;width:51.05pt;height:3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" o:allowincell="f" filled="f" stroked="f" strokeweight="0">
                <v:textbox>
                  <w:txbxContent>
                    <w:p w14:paraId="15CDC83A" w14:textId="77777777" w:rsidR="00B41AF4" w:rsidRPr="000B2523" w:rsidRDefault="006F29FD">
                      <w:pPr>
                        <w:jc w:val="center"/>
                        <w:rPr>
                          <w:rFonts w:ascii="Arial" w:hAnsi="Arial" w:cs="Arial"/>
                          <w:b/>
                          <w:bCs/>
                          <w:sz w:val="48"/>
                        </w:rPr>
                      </w:pPr>
                      <w:r w:rsidRPr="000B2523">
                        <w:rPr>
                          <w:rFonts w:ascii="Arial" w:hAnsi="Arial"/>
                          <w:b/>
                          <w:sz w:val="48"/>
                        </w:rPr>
                        <w:t>EL</w:t>
                      </w:r>
                    </w:p>
                  </w:txbxContent>
                </v:textbox>
                <w10:wrap anchorx="page" anchory="page"/>
              </v:rect>
            </w:pict>
          </mc:Fallback>
        </mc:AlternateContent>
      </w:r>
      <w:r w:rsidR="00C75905" w:rsidRPr="000B2523">
        <w:rPr>
          <w:noProof/>
        </w:rPr>
        <w:drawing>
          <wp:inline distT="0" distB="0" distL="0" distR="0" wp14:anchorId="281DFC1F" wp14:editId="0E284612">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Picture 2"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14:paraId="2957409F" w14:textId="77777777" w:rsidR="00B41AF4" w:rsidRPr="000B2523" w:rsidRDefault="00B41AF4" w:rsidP="00BF5F3D"/>
    <w:p w14:paraId="1356DA7F" w14:textId="37AA185C" w:rsidR="00B41AF4" w:rsidRPr="000B2523" w:rsidRDefault="006F29FD" w:rsidP="00BF5F3D">
      <w:pPr>
        <w:jc w:val="right"/>
      </w:pPr>
      <w:r w:rsidRPr="000B2523">
        <w:rPr>
          <w:b/>
        </w:rPr>
        <w:t>ECO/689</w:t>
      </w:r>
    </w:p>
    <w:p w14:paraId="0608FF99" w14:textId="0589B38D" w:rsidR="00B41AF4" w:rsidRPr="000B2523" w:rsidRDefault="005D4377" w:rsidP="00BF5F3D">
      <w:pPr>
        <w:jc w:val="right"/>
      </w:pPr>
      <w:r w:rsidRPr="000B2523">
        <w:rPr>
          <w:b/>
        </w:rPr>
        <w:t>Η νησιωτική διάσταση στις πολιτικές της ΕΕ</w:t>
      </w:r>
    </w:p>
    <w:p w14:paraId="224252AC" w14:textId="77777777" w:rsidR="00B41AF4" w:rsidRPr="000B2523" w:rsidRDefault="00B41AF4" w:rsidP="00BF5F3D">
      <w:pPr>
        <w:jc w:val="right"/>
      </w:pPr>
    </w:p>
    <w:p w14:paraId="656A4BE7" w14:textId="77777777" w:rsidR="00B41AF4" w:rsidRPr="000B2523" w:rsidRDefault="00B41AF4" w:rsidP="00BF5F3D"/>
    <w:p w14:paraId="39EEB855" w14:textId="77777777" w:rsidR="00B41AF4" w:rsidRPr="000B2523" w:rsidRDefault="00B41AF4" w:rsidP="00BF5F3D"/>
    <w:p w14:paraId="16225F6F" w14:textId="21A15510" w:rsidR="00B41AF4" w:rsidRPr="000B2523" w:rsidRDefault="00F02220" w:rsidP="00BF5F3D">
      <w:pPr>
        <w:jc w:val="center"/>
        <w:rPr>
          <w:b/>
          <w:bCs/>
          <w:sz w:val="28"/>
          <w:szCs w:val="28"/>
        </w:rPr>
      </w:pPr>
      <w:r w:rsidRPr="000B2523">
        <w:rPr>
          <w:b/>
          <w:sz w:val="28"/>
        </w:rPr>
        <w:t>ΓΝΩΜΟΔΟΤΗΣΗ</w:t>
      </w:r>
    </w:p>
    <w:p w14:paraId="3FB3F4E6" w14:textId="77777777" w:rsidR="00B41AF4" w:rsidRPr="000B2523" w:rsidRDefault="00B41AF4" w:rsidP="00BF5F3D">
      <w:pPr>
        <w:jc w:val="center"/>
      </w:pPr>
    </w:p>
    <w:p w14:paraId="75C6F1A5" w14:textId="1F6CA0B3" w:rsidR="00B41AF4" w:rsidRPr="000B2523" w:rsidRDefault="006F29FD" w:rsidP="00BF5F3D">
      <w:pPr>
        <w:jc w:val="center"/>
      </w:pPr>
      <w:r w:rsidRPr="000B2523">
        <w:t>Τμήμα «Οικονομική και Νομισματική Ένωση, οικονομική και κοινωνική συνοχή»</w:t>
      </w:r>
    </w:p>
    <w:p w14:paraId="6C313BD4" w14:textId="77777777" w:rsidR="00B41AF4" w:rsidRPr="000B2523" w:rsidRDefault="00B41AF4" w:rsidP="00BF5F3D">
      <w:pPr>
        <w:jc w:val="center"/>
      </w:pPr>
    </w:p>
    <w:p w14:paraId="37D11BA4" w14:textId="56624431" w:rsidR="00B41AF4" w:rsidRPr="000B2523" w:rsidRDefault="005D4377" w:rsidP="00BF5F3D">
      <w:pPr>
        <w:jc w:val="center"/>
        <w:rPr>
          <w:b/>
          <w:bCs/>
        </w:rPr>
      </w:pPr>
      <w:r w:rsidRPr="000B2523">
        <w:rPr>
          <w:b/>
        </w:rPr>
        <w:t>Η νησιωτική διάσταση στις ευρωπαϊκές πολιτικές συνοχής, ανταγωνιστικότητας και βιώσιμης ανάπτυξης</w:t>
      </w:r>
    </w:p>
    <w:p w14:paraId="6C1E4482" w14:textId="1D9B9341" w:rsidR="00B41AF4" w:rsidRPr="000B2523" w:rsidRDefault="00710514" w:rsidP="00BF5F3D">
      <w:pPr>
        <w:jc w:val="center"/>
        <w:rPr>
          <w:b/>
          <w:bCs/>
        </w:rPr>
      </w:pPr>
      <w:r w:rsidRPr="000B2523">
        <w:rPr>
          <w:b/>
        </w:rPr>
        <w:t>(διερευνητική γνωμοδότηση κατόπιν αιτήματος της κυπριακής Προεδρίας)</w:t>
      </w:r>
    </w:p>
    <w:p w14:paraId="60371893" w14:textId="77777777" w:rsidR="00B41AF4" w:rsidRPr="000B2523" w:rsidRDefault="00B41AF4" w:rsidP="00BF5F3D">
      <w:pPr>
        <w:jc w:val="center"/>
      </w:pPr>
    </w:p>
    <w:tbl>
      <w:tblPr>
        <w:tblpPr w:leftFromText="181" w:rightFromText="181" w:tblpYSpec="bottom"/>
        <w:tblW w:w="9289" w:type="dxa"/>
        <w:tblLayout w:type="fixed"/>
        <w:tblLook w:val="04A0" w:firstRow="1" w:lastRow="0" w:firstColumn="1" w:lastColumn="0" w:noHBand="0" w:noVBand="1"/>
      </w:tblPr>
      <w:tblGrid>
        <w:gridCol w:w="3084"/>
        <w:gridCol w:w="6205"/>
      </w:tblGrid>
      <w:tr w:rsidR="00DF7EA6" w:rsidRPr="000B2523" w14:paraId="0A544D85" w14:textId="77777777" w:rsidTr="00192452">
        <w:tc>
          <w:tcPr>
            <w:tcW w:w="3084" w:type="dxa"/>
          </w:tcPr>
          <w:p w14:paraId="1DE7D66B" w14:textId="77777777" w:rsidR="00DF7EA6" w:rsidRPr="000B2523" w:rsidRDefault="00DF7EA6" w:rsidP="00BF5F3D">
            <w:pPr>
              <w:widowControl w:val="0"/>
              <w:jc w:val="left"/>
            </w:pPr>
            <w:r w:rsidRPr="000B2523">
              <w:t>Επικοινωνία</w:t>
            </w:r>
          </w:p>
        </w:tc>
        <w:tc>
          <w:tcPr>
            <w:tcW w:w="6205" w:type="dxa"/>
          </w:tcPr>
          <w:p w14:paraId="6219941F" w14:textId="054F9CB4" w:rsidR="00DF7EA6" w:rsidRPr="000B2523" w:rsidRDefault="00C75905" w:rsidP="00BF5F3D">
            <w:pPr>
              <w:widowControl w:val="0"/>
              <w:jc w:val="left"/>
            </w:pPr>
            <w:hyperlink r:id="rId12">
              <w:r w:rsidRPr="000B2523">
                <w:rPr>
                  <w:rStyle w:val="CollegamentoInternet"/>
                </w:rPr>
                <w:t>eco@eesc.europa.eu</w:t>
              </w:r>
            </w:hyperlink>
          </w:p>
        </w:tc>
      </w:tr>
      <w:tr w:rsidR="00DF7EA6" w:rsidRPr="000B2523" w14:paraId="2F1C674B" w14:textId="77777777" w:rsidTr="00192452">
        <w:tc>
          <w:tcPr>
            <w:tcW w:w="3084" w:type="dxa"/>
          </w:tcPr>
          <w:p w14:paraId="5F2E9C24" w14:textId="77777777" w:rsidR="00DF7EA6" w:rsidRPr="000B2523" w:rsidRDefault="00DF7EA6" w:rsidP="00BF5F3D">
            <w:pPr>
              <w:widowControl w:val="0"/>
              <w:jc w:val="left"/>
            </w:pPr>
            <w:r w:rsidRPr="000B2523">
              <w:t>Υπάλληλος διοίκησης</w:t>
            </w:r>
          </w:p>
        </w:tc>
        <w:tc>
          <w:tcPr>
            <w:tcW w:w="6205" w:type="dxa"/>
          </w:tcPr>
          <w:p w14:paraId="1A28ED18" w14:textId="1A43995D" w:rsidR="00DF7EA6" w:rsidRPr="000B2523" w:rsidRDefault="00DF7EA6" w:rsidP="00BF5F3D">
            <w:pPr>
              <w:widowControl w:val="0"/>
              <w:jc w:val="left"/>
            </w:pPr>
            <w:r w:rsidRPr="000B2523">
              <w:t>Γεώργιος ΜΕΛΕΑΣ</w:t>
            </w:r>
          </w:p>
        </w:tc>
      </w:tr>
      <w:tr w:rsidR="00DF7EA6" w:rsidRPr="000B2523" w14:paraId="0D590B55" w14:textId="77777777" w:rsidTr="00192452">
        <w:tc>
          <w:tcPr>
            <w:tcW w:w="3084" w:type="dxa"/>
          </w:tcPr>
          <w:p w14:paraId="6FB37D36" w14:textId="77777777" w:rsidR="00DF7EA6" w:rsidRPr="000B2523" w:rsidRDefault="00DF7EA6" w:rsidP="00BF5F3D">
            <w:pPr>
              <w:widowControl w:val="0"/>
              <w:jc w:val="left"/>
            </w:pPr>
            <w:r w:rsidRPr="000B2523">
              <w:t>Ημερομηνία του εγγράφου</w:t>
            </w:r>
          </w:p>
        </w:tc>
        <w:tc>
          <w:tcPr>
            <w:tcW w:w="6205" w:type="dxa"/>
          </w:tcPr>
          <w:p w14:paraId="53D78012" w14:textId="1E239E9F" w:rsidR="00DF7EA6" w:rsidRPr="000B2523" w:rsidRDefault="00EE1760" w:rsidP="00BF5F3D">
            <w:pPr>
              <w:widowControl w:val="0"/>
              <w:jc w:val="left"/>
            </w:pPr>
            <w:r w:rsidRPr="000B2523">
              <w:t>9/2/2026</w:t>
            </w:r>
          </w:p>
        </w:tc>
      </w:tr>
    </w:tbl>
    <w:p w14:paraId="2C1478B9" w14:textId="6393FA51" w:rsidR="00B41AF4" w:rsidRPr="000B2523" w:rsidRDefault="006F29FD" w:rsidP="00BF5F3D">
      <w:pPr>
        <w:jc w:val="center"/>
        <w:rPr>
          <w:bCs/>
        </w:rPr>
      </w:pPr>
      <w:r w:rsidRPr="000B2523">
        <w:t xml:space="preserve">Εισηγητής: </w:t>
      </w:r>
      <w:r w:rsidRPr="000B2523">
        <w:rPr>
          <w:b/>
        </w:rPr>
        <w:t>Ιωάννης ΒΑΡΔΑΚΑΣΤΑΝΗΣ</w:t>
      </w:r>
    </w:p>
    <w:p w14:paraId="3C5CDEA8" w14:textId="77777777" w:rsidR="00B41AF4" w:rsidRPr="000B2523" w:rsidRDefault="00B41AF4" w:rsidP="00BF5F3D">
      <w:pPr>
        <w:jc w:val="center"/>
      </w:pPr>
    </w:p>
    <w:p w14:paraId="51D6A9B9" w14:textId="77777777" w:rsidR="00B41AF4" w:rsidRPr="000B2523" w:rsidRDefault="00B41AF4" w:rsidP="00BF5F3D">
      <w:pPr>
        <w:sectPr w:rsidR="00B41AF4" w:rsidRPr="000B2523" w:rsidSect="000B252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pgNumType w:start="1"/>
          <w:cols w:space="720"/>
          <w:formProt w:val="0"/>
          <w:docGrid w:linePitch="299" w:charSpace="4096"/>
        </w:sectPr>
      </w:pPr>
    </w:p>
    <w:tbl>
      <w:tblPr>
        <w:tblW w:w="9073" w:type="dxa"/>
        <w:tblLayout w:type="fixed"/>
        <w:tblLook w:val="04A0" w:firstRow="1" w:lastRow="0" w:firstColumn="1" w:lastColumn="0" w:noHBand="0" w:noVBand="1"/>
      </w:tblPr>
      <w:tblGrid>
        <w:gridCol w:w="2835"/>
        <w:gridCol w:w="6238"/>
      </w:tblGrid>
      <w:tr w:rsidR="00DA5023" w:rsidRPr="000B2523" w14:paraId="20B71F27" w14:textId="77777777" w:rsidTr="00131912">
        <w:tc>
          <w:tcPr>
            <w:tcW w:w="2835" w:type="dxa"/>
          </w:tcPr>
          <w:p w14:paraId="2AA6F086" w14:textId="2C019F24" w:rsidR="00DA5023" w:rsidRPr="000B2523" w:rsidRDefault="00DA5023" w:rsidP="00BF5F3D">
            <w:pPr>
              <w:widowControl w:val="0"/>
            </w:pPr>
            <w:r w:rsidRPr="000B2523">
              <w:lastRenderedPageBreak/>
              <w:t>Σύμβουλος</w:t>
            </w:r>
          </w:p>
        </w:tc>
        <w:tc>
          <w:tcPr>
            <w:tcW w:w="6238" w:type="dxa"/>
          </w:tcPr>
          <w:p w14:paraId="6165FD66" w14:textId="3F859AD8" w:rsidR="00083786" w:rsidRPr="000B2523" w:rsidRDefault="00FC69DA" w:rsidP="00BF5F3D">
            <w:pPr>
              <w:widowControl w:val="0"/>
              <w:jc w:val="left"/>
            </w:pPr>
            <w:r w:rsidRPr="000B2523">
              <w:t>Στέλλα Σοφία ΚΥΒΕΛΟΥ-ΧΙΩΤΙΝΗ (για τον εισηγητή)</w:t>
            </w:r>
          </w:p>
        </w:tc>
      </w:tr>
      <w:tr w:rsidR="00DA5023" w:rsidRPr="000B2523" w14:paraId="21A1F05B" w14:textId="77777777" w:rsidTr="00131912">
        <w:tc>
          <w:tcPr>
            <w:tcW w:w="2835" w:type="dxa"/>
          </w:tcPr>
          <w:p w14:paraId="29F30109" w14:textId="77777777" w:rsidR="00DA5023" w:rsidRPr="000B2523" w:rsidRDefault="00DA5023" w:rsidP="00BF5F3D">
            <w:pPr>
              <w:widowControl w:val="0"/>
            </w:pPr>
          </w:p>
        </w:tc>
        <w:tc>
          <w:tcPr>
            <w:tcW w:w="6238" w:type="dxa"/>
          </w:tcPr>
          <w:p w14:paraId="6A7B9221" w14:textId="77777777" w:rsidR="00DA5023" w:rsidRPr="000B2523" w:rsidRDefault="00DA5023" w:rsidP="00BF5F3D">
            <w:pPr>
              <w:widowControl w:val="0"/>
              <w:jc w:val="left"/>
            </w:pPr>
          </w:p>
        </w:tc>
      </w:tr>
      <w:tr w:rsidR="00B41AF4" w:rsidRPr="000B2523" w14:paraId="25655819" w14:textId="77777777" w:rsidTr="00131912">
        <w:tc>
          <w:tcPr>
            <w:tcW w:w="2835" w:type="dxa"/>
          </w:tcPr>
          <w:p w14:paraId="1F4C7C38" w14:textId="77777777" w:rsidR="00B41AF4" w:rsidRPr="000B2523" w:rsidRDefault="006F29FD" w:rsidP="00BF5F3D">
            <w:pPr>
              <w:widowControl w:val="0"/>
              <w:jc w:val="left"/>
            </w:pPr>
            <w:r w:rsidRPr="000B2523">
              <w:t>Αίτηση γνωμοδότησης</w:t>
            </w:r>
          </w:p>
        </w:tc>
        <w:tc>
          <w:tcPr>
            <w:tcW w:w="6238" w:type="dxa"/>
          </w:tcPr>
          <w:p w14:paraId="54463B7F" w14:textId="45C15FCA" w:rsidR="00B41AF4" w:rsidRPr="000B2523" w:rsidRDefault="006F29FD" w:rsidP="00BF5F3D">
            <w:pPr>
              <w:widowControl w:val="0"/>
              <w:jc w:val="left"/>
            </w:pPr>
            <w:r w:rsidRPr="000B2523">
              <w:t>Επιστολή της κ. Μαριλένας ΡΑΟΥΝΑ, υφυπουργού Ευρωπαϊκών Θεμάτων, Κυπριακή Δημοκρατία, 14/10/2025</w:t>
            </w:r>
          </w:p>
        </w:tc>
      </w:tr>
      <w:tr w:rsidR="00B41AF4" w:rsidRPr="000B2523" w14:paraId="67CAE3BE" w14:textId="77777777" w:rsidTr="00131912">
        <w:trPr>
          <w:trHeight w:val="251"/>
        </w:trPr>
        <w:tc>
          <w:tcPr>
            <w:tcW w:w="2835" w:type="dxa"/>
          </w:tcPr>
          <w:p w14:paraId="3BF16C35" w14:textId="77777777" w:rsidR="00B41AF4" w:rsidRPr="000B2523" w:rsidRDefault="006F29FD" w:rsidP="00BF5F3D">
            <w:pPr>
              <w:widowControl w:val="0"/>
              <w:jc w:val="left"/>
            </w:pPr>
            <w:r w:rsidRPr="000B2523">
              <w:t>Νομική βάση</w:t>
            </w:r>
          </w:p>
        </w:tc>
        <w:tc>
          <w:tcPr>
            <w:tcW w:w="6238" w:type="dxa"/>
          </w:tcPr>
          <w:p w14:paraId="37D0FEC7" w14:textId="77777777" w:rsidR="00B41AF4" w:rsidRPr="000B2523" w:rsidRDefault="006F29FD" w:rsidP="00BF5F3D">
            <w:pPr>
              <w:widowControl w:val="0"/>
              <w:jc w:val="left"/>
            </w:pPr>
            <w:r w:rsidRPr="000B2523">
              <w:t>Άρθρο 304 της Συνθήκης για τη λειτουργία της Ευρωπαϊκής Ένωσης</w:t>
            </w:r>
          </w:p>
        </w:tc>
      </w:tr>
      <w:tr w:rsidR="00B41AF4" w:rsidRPr="000B2523" w14:paraId="1B185F69" w14:textId="77777777" w:rsidTr="00131912">
        <w:tc>
          <w:tcPr>
            <w:tcW w:w="2835" w:type="dxa"/>
          </w:tcPr>
          <w:p w14:paraId="6D8FECDA" w14:textId="77777777" w:rsidR="00B41AF4" w:rsidRPr="000B2523" w:rsidRDefault="00B41AF4" w:rsidP="00BF5F3D">
            <w:pPr>
              <w:widowControl w:val="0"/>
              <w:jc w:val="left"/>
            </w:pPr>
          </w:p>
        </w:tc>
        <w:tc>
          <w:tcPr>
            <w:tcW w:w="6238" w:type="dxa"/>
          </w:tcPr>
          <w:p w14:paraId="457E5890" w14:textId="77777777" w:rsidR="00B41AF4" w:rsidRPr="000B2523" w:rsidRDefault="00B41AF4" w:rsidP="00BF5F3D">
            <w:pPr>
              <w:widowControl w:val="0"/>
              <w:jc w:val="left"/>
            </w:pPr>
          </w:p>
        </w:tc>
      </w:tr>
      <w:tr w:rsidR="00B41AF4" w:rsidRPr="000B2523" w14:paraId="4AC6801D" w14:textId="77777777" w:rsidTr="00131912">
        <w:tc>
          <w:tcPr>
            <w:tcW w:w="2835" w:type="dxa"/>
          </w:tcPr>
          <w:p w14:paraId="1111037B" w14:textId="77777777" w:rsidR="00B41AF4" w:rsidRPr="000B2523" w:rsidRDefault="006F29FD" w:rsidP="00BF5F3D">
            <w:pPr>
              <w:widowControl w:val="0"/>
              <w:jc w:val="left"/>
            </w:pPr>
            <w:r w:rsidRPr="000B2523">
              <w:t>Αρμόδιο όργανο</w:t>
            </w:r>
          </w:p>
        </w:tc>
        <w:tc>
          <w:tcPr>
            <w:tcW w:w="6238" w:type="dxa"/>
          </w:tcPr>
          <w:p w14:paraId="54BF5256" w14:textId="77777777" w:rsidR="00B41AF4" w:rsidRPr="000B2523" w:rsidRDefault="006F29FD" w:rsidP="00BF5F3D">
            <w:pPr>
              <w:widowControl w:val="0"/>
              <w:jc w:val="left"/>
            </w:pPr>
            <w:r w:rsidRPr="000B2523">
              <w:t>Τμήμα «Οικονομική και νομισματική ένωση, οικονομική και κοινωνική συνοχή»</w:t>
            </w:r>
          </w:p>
        </w:tc>
      </w:tr>
      <w:tr w:rsidR="00B41AF4" w:rsidRPr="000B2523" w14:paraId="052C2428" w14:textId="77777777" w:rsidTr="00131912">
        <w:tc>
          <w:tcPr>
            <w:tcW w:w="2835" w:type="dxa"/>
          </w:tcPr>
          <w:p w14:paraId="3C2DAE54" w14:textId="77777777" w:rsidR="00B41AF4" w:rsidRPr="000B2523" w:rsidRDefault="006F29FD" w:rsidP="00BF5F3D">
            <w:pPr>
              <w:widowControl w:val="0"/>
              <w:jc w:val="left"/>
            </w:pPr>
            <w:r w:rsidRPr="000B2523">
              <w:t>Έγκριση από το τμήμα</w:t>
            </w:r>
          </w:p>
        </w:tc>
        <w:tc>
          <w:tcPr>
            <w:tcW w:w="6238" w:type="dxa"/>
          </w:tcPr>
          <w:p w14:paraId="3F85A588" w14:textId="1543BAD6" w:rsidR="00B41AF4" w:rsidRPr="000B2523" w:rsidRDefault="00C6023D" w:rsidP="00BF5F3D">
            <w:pPr>
              <w:widowControl w:val="0"/>
              <w:jc w:val="left"/>
            </w:pPr>
            <w:r w:rsidRPr="000B2523">
              <w:t>5/2/2026</w:t>
            </w:r>
          </w:p>
        </w:tc>
      </w:tr>
      <w:tr w:rsidR="00B41AF4" w:rsidRPr="000B2523" w14:paraId="7A567AEE" w14:textId="77777777" w:rsidTr="00131912">
        <w:tc>
          <w:tcPr>
            <w:tcW w:w="2835" w:type="dxa"/>
          </w:tcPr>
          <w:p w14:paraId="0973CC88" w14:textId="77777777" w:rsidR="00B41AF4" w:rsidRPr="000B2523" w:rsidRDefault="006F29FD" w:rsidP="00BF5F3D">
            <w:pPr>
              <w:widowControl w:val="0"/>
              <w:jc w:val="left"/>
            </w:pPr>
            <w:r w:rsidRPr="000B2523">
              <w:t>Αποτέλεσμα της ψηφοφορίας</w:t>
            </w:r>
            <w:r w:rsidRPr="000B2523">
              <w:br/>
              <w:t>(υπέρ/κατά/αποχές)</w:t>
            </w:r>
          </w:p>
        </w:tc>
        <w:tc>
          <w:tcPr>
            <w:tcW w:w="6238" w:type="dxa"/>
            <w:vAlign w:val="bottom"/>
          </w:tcPr>
          <w:p w14:paraId="3A7A2126" w14:textId="0B7F0180" w:rsidR="00B41AF4" w:rsidRPr="000B2523" w:rsidRDefault="00085D30" w:rsidP="00BF5F3D">
            <w:pPr>
              <w:widowControl w:val="0"/>
              <w:jc w:val="left"/>
            </w:pPr>
            <w:r w:rsidRPr="000B2523">
              <w:t>56/0/0</w:t>
            </w:r>
          </w:p>
        </w:tc>
      </w:tr>
      <w:tr w:rsidR="00B41AF4" w:rsidRPr="000B2523" w14:paraId="55135996" w14:textId="77777777" w:rsidTr="00131912">
        <w:tc>
          <w:tcPr>
            <w:tcW w:w="2835" w:type="dxa"/>
          </w:tcPr>
          <w:p w14:paraId="62B6EB47" w14:textId="77777777" w:rsidR="00B41AF4" w:rsidRPr="000B2523" w:rsidRDefault="006F29FD" w:rsidP="00BF5F3D">
            <w:pPr>
              <w:widowControl w:val="0"/>
              <w:jc w:val="left"/>
            </w:pPr>
            <w:r w:rsidRPr="000B2523">
              <w:t>Εγκρίθηκε από την Ολομέλεια</w:t>
            </w:r>
          </w:p>
        </w:tc>
        <w:tc>
          <w:tcPr>
            <w:tcW w:w="6238" w:type="dxa"/>
          </w:tcPr>
          <w:p w14:paraId="1E6CF583" w14:textId="155EE713" w:rsidR="00B41AF4" w:rsidRPr="000B2523" w:rsidRDefault="006F29FD" w:rsidP="00BF5F3D">
            <w:pPr>
              <w:widowControl w:val="0"/>
              <w:jc w:val="left"/>
            </w:pPr>
            <w:r w:rsidRPr="000B2523">
              <w:t>H/Μ/ΕΕΕΕ</w:t>
            </w:r>
          </w:p>
        </w:tc>
      </w:tr>
      <w:tr w:rsidR="00B41AF4" w:rsidRPr="000B2523" w14:paraId="71D0EB76" w14:textId="77777777" w:rsidTr="00131912">
        <w:tc>
          <w:tcPr>
            <w:tcW w:w="2835" w:type="dxa"/>
          </w:tcPr>
          <w:p w14:paraId="6260B5C4" w14:textId="77777777" w:rsidR="00B41AF4" w:rsidRPr="000B2523" w:rsidRDefault="006F29FD" w:rsidP="00BF5F3D">
            <w:pPr>
              <w:widowControl w:val="0"/>
              <w:jc w:val="left"/>
            </w:pPr>
            <w:r w:rsidRPr="000B2523">
              <w:t>Σύνοδος ολομέλειας αριθ.</w:t>
            </w:r>
          </w:p>
        </w:tc>
        <w:tc>
          <w:tcPr>
            <w:tcW w:w="6238" w:type="dxa"/>
          </w:tcPr>
          <w:p w14:paraId="332A1E15" w14:textId="77777777" w:rsidR="00B41AF4" w:rsidRPr="000B2523" w:rsidRDefault="006F29FD" w:rsidP="00BF5F3D">
            <w:pPr>
              <w:widowControl w:val="0"/>
              <w:jc w:val="left"/>
            </w:pPr>
            <w:r w:rsidRPr="000B2523">
              <w:t>…</w:t>
            </w:r>
          </w:p>
        </w:tc>
      </w:tr>
      <w:tr w:rsidR="00B41AF4" w:rsidRPr="000B2523" w14:paraId="0C4E46FC" w14:textId="77777777" w:rsidTr="00131912">
        <w:tc>
          <w:tcPr>
            <w:tcW w:w="2835" w:type="dxa"/>
          </w:tcPr>
          <w:p w14:paraId="76E5F3EB" w14:textId="77777777" w:rsidR="00B41AF4" w:rsidRPr="000B2523" w:rsidRDefault="006F29FD" w:rsidP="00BF5F3D">
            <w:pPr>
              <w:widowControl w:val="0"/>
              <w:jc w:val="left"/>
            </w:pPr>
            <w:r w:rsidRPr="000B2523">
              <w:t>Αποτέλεσμα της ψηφοφορίας</w:t>
            </w:r>
            <w:r w:rsidRPr="000B2523">
              <w:br/>
              <w:t>(υπέρ/κατά/αποχές)</w:t>
            </w:r>
          </w:p>
        </w:tc>
        <w:tc>
          <w:tcPr>
            <w:tcW w:w="6238" w:type="dxa"/>
            <w:vAlign w:val="bottom"/>
          </w:tcPr>
          <w:p w14:paraId="6ECB677E" w14:textId="77777777" w:rsidR="00B41AF4" w:rsidRPr="000B2523" w:rsidRDefault="006F29FD" w:rsidP="00BF5F3D">
            <w:pPr>
              <w:widowControl w:val="0"/>
              <w:jc w:val="left"/>
            </w:pPr>
            <w:r w:rsidRPr="000B2523">
              <w:t>…/…/…</w:t>
            </w:r>
          </w:p>
        </w:tc>
      </w:tr>
    </w:tbl>
    <w:p w14:paraId="3205EEEA" w14:textId="77777777" w:rsidR="00B41AF4" w:rsidRPr="000B2523" w:rsidRDefault="00B41AF4" w:rsidP="00BF5F3D"/>
    <w:p w14:paraId="28AB57C8" w14:textId="77777777" w:rsidR="00B41AF4" w:rsidRPr="000B2523" w:rsidRDefault="006F29FD" w:rsidP="00BF5F3D">
      <w:r w:rsidRPr="000B2523">
        <w:br w:type="page"/>
      </w:r>
    </w:p>
    <w:p w14:paraId="45EEFDDE" w14:textId="256BA685" w:rsidR="00A67025" w:rsidRPr="000B2523" w:rsidRDefault="00A67025" w:rsidP="00BF5F3D">
      <w:pPr>
        <w:pStyle w:val="1"/>
        <w:rPr>
          <w:b/>
          <w:bCs/>
        </w:rPr>
      </w:pPr>
      <w:r w:rsidRPr="000B2523">
        <w:rPr>
          <w:b/>
        </w:rPr>
        <w:lastRenderedPageBreak/>
        <w:t>Συμπεράσματα και συστάσεις</w:t>
      </w:r>
    </w:p>
    <w:p w14:paraId="40272231" w14:textId="77777777" w:rsidR="000265F3" w:rsidRPr="000B2523" w:rsidRDefault="000265F3" w:rsidP="00BF5F3D">
      <w:pPr>
        <w:rPr>
          <w:u w:val="single"/>
        </w:rPr>
      </w:pPr>
    </w:p>
    <w:p w14:paraId="4CEDA8D0" w14:textId="4AC7CFA1" w:rsidR="00B20923" w:rsidRPr="000B2523" w:rsidRDefault="00B20923" w:rsidP="00BF5F3D">
      <w:pPr>
        <w:pStyle w:val="2"/>
        <w:ind w:left="567" w:hanging="578"/>
      </w:pPr>
      <w:r w:rsidRPr="000B2523">
        <w:t xml:space="preserve">Η ΕΟΚΕ πιστεύει ότι τα νησιά της ΕΕ αντιμετωπίζουν </w:t>
      </w:r>
      <w:r w:rsidRPr="000B2523">
        <w:rPr>
          <w:u w:val="single"/>
        </w:rPr>
        <w:t>επίμονα διαρθρωτικά μειονεκτήματα</w:t>
      </w:r>
      <w:r w:rsidRPr="000B2523">
        <w:t xml:space="preserve">, δηλαδή γεωγραφικούς, οικονομικούς, δημογραφικούς και κλιματικούς περιορισμούς, όπως η απομόνωση, η τήξη των πάγων, το υψηλό κόστος μεταφορών και ενέργειας, η στεγαστική πίεση, οι ελλείψεις εργατικού δυναμικού και η υπερβολική εξάρτηση από τον τουρισμό. Ωστόσο, τα ευρωπαϊκά νησιά έχουν </w:t>
      </w:r>
      <w:r w:rsidRPr="000B2523">
        <w:rPr>
          <w:u w:val="single"/>
        </w:rPr>
        <w:t>στρατηγική σημασία</w:t>
      </w:r>
      <w:r w:rsidRPr="000B2523">
        <w:t xml:space="preserve">. </w:t>
      </w:r>
    </w:p>
    <w:p w14:paraId="375C0FE0" w14:textId="77777777" w:rsidR="00B20923" w:rsidRPr="000B2523" w:rsidRDefault="00B20923" w:rsidP="00BF5F3D">
      <w:pPr>
        <w:ind w:left="709"/>
        <w:rPr>
          <w:lang w:eastAsia="en-GB"/>
        </w:rPr>
      </w:pPr>
    </w:p>
    <w:p w14:paraId="60EA1DFB" w14:textId="5B4D6FE9" w:rsidR="00AB1BE5" w:rsidRPr="000B2523" w:rsidRDefault="00B20923" w:rsidP="00BF5F3D">
      <w:pPr>
        <w:pStyle w:val="2"/>
        <w:ind w:left="567" w:hanging="578"/>
        <w:rPr>
          <w:u w:val="single"/>
        </w:rPr>
      </w:pPr>
      <w:r w:rsidRPr="000B2523">
        <w:t>Η ΕΟΚΕ είναι της άποψης ότι τα νησιά είναι απαραίτητα για τη γεωπολιτική θέση της ΕΕ, τη διαχείριση της μετανάστευσης, την ασφάλεια στη θάλασσα και την ενεργειακή μετάβαση. Τα θαλάσσια οικοσυστήματά τους και οι αντίστοιχες αποκλειστικές οικονομικές ζώνες (ΑΟΖ) στηρίζουν τους στόχους της γαλάζιας οικονομίας και της βιοποικιλότητας. Παρά την αναγνώριση στις Συνθήκες της ΕΕ (άρθρο 174 της ΣΛΕΕ) και τις πολιτικές δηλώσεις, οι ιδιαίτερες προκλήσεις των νησιών δεν αντιμετωπίζονται επαρκώς από τις τομεακές πολιτικές της ΕΕ. Υπάρχουν σαφή κενά πολιτικής και ελλείμματα εφαρμογής. Η χρηματοδότηση, τα μέσα διακυβέρνησης και οι νομοθετικοί μηχανισμοί παραμένουν κατακερματισμένα. Ωστόσο, τα νησιά έχουν τη δυνατότητα να αποτελέσουν εργαστήρια καινοτομίας και βιωσιμότητας, επιδεικνύοντας λύσεις για την προσαρμογή στην κλιματική αλλαγή, τις ανανεώσιμες πηγές ενέργειας, τη διατήρηση του θαλάσσιου περιβάλλοντος και τον βιώσιμο τουρισμό, και δημιουργώντας ανθεκτικότητα και ευκαιρίες με αυτόν τον τρόπο.</w:t>
      </w:r>
    </w:p>
    <w:p w14:paraId="304A7EC4" w14:textId="77777777" w:rsidR="0029092C" w:rsidRPr="000B2523" w:rsidRDefault="0029092C" w:rsidP="00BF5F3D">
      <w:pPr>
        <w:ind w:left="709"/>
        <w:rPr>
          <w:lang w:eastAsia="en-GB"/>
        </w:rPr>
      </w:pPr>
    </w:p>
    <w:p w14:paraId="46DF4999" w14:textId="09B3D0BE" w:rsidR="00A12F82" w:rsidRPr="000B2523" w:rsidRDefault="00B20923" w:rsidP="00BF5F3D">
      <w:pPr>
        <w:pStyle w:val="2"/>
        <w:ind w:left="567" w:hanging="578"/>
      </w:pPr>
      <w:r w:rsidRPr="000B2523">
        <w:rPr>
          <w:u w:val="single"/>
        </w:rPr>
        <w:t>Η ΕΟΚΕ αναγνωρίζει ότι υπάρχει ανάγκη για μια συστημική προσέγγιση</w:t>
      </w:r>
      <w:r w:rsidRPr="000B2523">
        <w:t>. Η αποτελεσματική πολιτική της ΕΕ για τα νησιά και τα νησιωτικά εδάφη εν γένει (συμπεριλαμβανομένων των εξόχως απόκεντρων περιοχών και των λιμναίων περιοχών) απαιτεί ολοκληρωμένες, διατομεακές στρατηγικές για τη συνδεσιμότητα, την οικονομική διαφοροποίηση, την κοινωνική συνοχή, την οικολογική, κοινωνική και οικονομική ανθεκτικότητα και τη γεωπολιτική ετοιμότητα.</w:t>
      </w:r>
    </w:p>
    <w:p w14:paraId="47FB116A" w14:textId="77777777" w:rsidR="0029092C" w:rsidRPr="000B2523" w:rsidRDefault="0029092C" w:rsidP="00BF5F3D">
      <w:pPr>
        <w:ind w:left="709"/>
        <w:rPr>
          <w:lang w:eastAsia="en-GB"/>
        </w:rPr>
      </w:pPr>
    </w:p>
    <w:p w14:paraId="2F6E2CFD" w14:textId="75B5C138" w:rsidR="00E80642" w:rsidRPr="000B2523" w:rsidRDefault="009B1F4F" w:rsidP="00BF5F3D">
      <w:pPr>
        <w:pStyle w:val="2"/>
        <w:ind w:left="567" w:hanging="578"/>
      </w:pPr>
      <w:r w:rsidRPr="000B2523">
        <w:t>Η ΕΟΚΕ ζητεί τη θέσπιση ειδικής στρατηγικής της Ένωσης για τα νησιά (</w:t>
      </w:r>
      <w:r w:rsidRPr="000B2523">
        <w:rPr>
          <w:b/>
        </w:rPr>
        <w:t>σύμφωνο για τα νησιά</w:t>
      </w:r>
      <w:r w:rsidRPr="000B2523">
        <w:t>), η οποία θα υποστηρίζεται από ειδικό νομοθετικό πλαίσιο (</w:t>
      </w:r>
      <w:r w:rsidRPr="000B2523">
        <w:rPr>
          <w:b/>
        </w:rPr>
        <w:t>πράξη για τα νησιά</w:t>
      </w:r>
      <w:r w:rsidRPr="000B2523">
        <w:t>). Το εν λόγω πλαίσιο θα πρέπει να συνοδεύεται από επίσημη στρατηγική και να προβλέπει την αποτελεσματική εφαρμογή μιας «</w:t>
      </w:r>
      <w:r w:rsidRPr="000B2523">
        <w:rPr>
          <w:b/>
        </w:rPr>
        <w:t>ρήτρας νησιωτικού χαρακτήρα</w:t>
      </w:r>
      <w:r w:rsidRPr="000B2523">
        <w:t>», με σκοπό τη συστηματική ενσωμάτωση των ειδικών αναγκών και περιορισμών των νησιών στις πολιτικές της Ένωσης για τη συνοχή, τις μεταφορές, την ενέργεια, τις κρατικές ενισχύσεις, το περιβάλλον και τη θάλασσα.</w:t>
      </w:r>
    </w:p>
    <w:p w14:paraId="48BD97BE" w14:textId="77777777" w:rsidR="0029092C" w:rsidRPr="000B2523" w:rsidRDefault="0029092C" w:rsidP="00BF5F3D">
      <w:pPr>
        <w:ind w:left="709"/>
        <w:rPr>
          <w:lang w:eastAsia="en-GB"/>
        </w:rPr>
      </w:pPr>
    </w:p>
    <w:p w14:paraId="3F418934" w14:textId="3AB6161C" w:rsidR="00B26B55" w:rsidRPr="000B2523" w:rsidRDefault="00B225CE" w:rsidP="00BF5F3D">
      <w:pPr>
        <w:pStyle w:val="2"/>
        <w:ind w:left="567" w:hanging="578"/>
      </w:pPr>
      <w:r w:rsidRPr="000B2523">
        <w:t>Τονίζει ότι η βελτίωση της συνδεσιμότητας και των υποδομών στις νησιωτικές περιοχές είναι απαραίτητη για την εδαφική συνοχή και ζητεί βελτιωμένα συστήματα μεταφορών και δημόσιας κινητικότητας, ενισχυμένη ψηφιακή συνδεσιμότητα και ανθεκτικότερα ενεργειακά δίκτυα, με σαφή έμφαση στην απανθρακοποίηση, την ενεργειακή αυτονομία και την προσαρμογή στους κινδύνους που σχετίζονται με το κλίμα.</w:t>
      </w:r>
    </w:p>
    <w:p w14:paraId="3D86021A" w14:textId="77777777" w:rsidR="0029092C" w:rsidRPr="000B2523" w:rsidRDefault="0029092C" w:rsidP="00BF5F3D">
      <w:pPr>
        <w:ind w:left="709"/>
        <w:rPr>
          <w:lang w:eastAsia="en-GB"/>
        </w:rPr>
      </w:pPr>
    </w:p>
    <w:p w14:paraId="713A03F3" w14:textId="6B27AE59" w:rsidR="001D7E68" w:rsidRPr="000B2523" w:rsidRDefault="005F7867" w:rsidP="00BF5F3D">
      <w:pPr>
        <w:pStyle w:val="2"/>
        <w:ind w:left="567" w:hanging="578"/>
      </w:pPr>
      <w:r w:rsidRPr="000B2523">
        <w:t xml:space="preserve">Η ΕΟΚΕ τονίζει ότι οι νησιωτικές περιοχές θα πρέπει να διαφοροποιήσουν τις οικονομίες τους μέσω της ανάπτυξης μιας βιώσιμης και ανταγωνιστικής γαλάζιας οικονομίας που θα βασίζεται στα ιδιαίτερα πλεονεκτήματά τους, όπως οι θαλάσσιοι πόροι, το δυναμικό ανανεώσιμων πηγών ενέργειας, ο τουρισμός, η πολιτιστική κληρονομιά και οι κλάδοι της δημιουργίας. Ζητεί </w:t>
      </w:r>
      <w:r w:rsidRPr="000B2523">
        <w:lastRenderedPageBreak/>
        <w:t>στοχευμένες επενδύσεις στους θαλάσσιους τομείς, στον τουρισμό καθ’ όλη τη διάρκεια του έτους, στις ανανεώσιμες πηγές ενέργειας και στην καινοτομία, μέσω της χρήσης στρατηγικών έξυπνης εξειδίκευσης (S3/S4) και διαπεριφερειακής συνεργασίας. Για την ενίσχυση της νησιωτικής επιχειρηματικότητας απαιτούνται τοποκεντρικά οικοσυστήματα καινοτομίας, χρηματοδότηση προσαρμοσμένη στα νησιά και στην ανάπτυξη δεξιοτήτων, βελτιωμένη συνδεσιμότητα, συνεργασία μεταξύ των νησιών, ευθυγράμμιση με την πράσινη και την ψηφιακή μετάβαση και στενή παρακολούθηση, με αποτέλεσμα μια προσαρμοσμένη και συνεκτική προσέγγιση πολιτικής για τα νησιά.</w:t>
      </w:r>
    </w:p>
    <w:p w14:paraId="36E8409B" w14:textId="77777777" w:rsidR="005F7867" w:rsidRPr="000B2523" w:rsidRDefault="005F7867" w:rsidP="00BF5F3D">
      <w:pPr>
        <w:ind w:left="709" w:hanging="709"/>
      </w:pPr>
    </w:p>
    <w:p w14:paraId="5BFFFD25" w14:textId="249D36EB" w:rsidR="00B26B55" w:rsidRPr="000B2523" w:rsidRDefault="00202746" w:rsidP="00BF5F3D">
      <w:pPr>
        <w:pStyle w:val="2"/>
        <w:ind w:left="567" w:hanging="578"/>
      </w:pPr>
      <w:r w:rsidRPr="000B2523">
        <w:t>Τονίζει ότι η κοινωνική συνοχή και η ανάπτυξη του ανθρώπινου κεφαλαίου έχουν καίρια σημασία για τη μακροπρόθεσμη βιωσιμότητα των νησιωτικών κοινοτήτων. Ζητεί στοχευμένες πολιτικές για την αντιμετώπιση των ελλείψεων στέγασης, των αναντιστοιχιών στην αγορά εργασίας, των κενών δεξιοτήτων και της μετανάστευσης των νέων, με ενσωμάτωση συστημάτων εκπαίδευσης και κατάρτισης χωρίς αποκλεισμούς, ευκαιριών ποιοτικής απασχόλησης και λύσεων οικονομικά προσιτής στέγασης, προσαρμοσμένων στα ειδικά χαρακτηριστικά των νησιών.</w:t>
      </w:r>
    </w:p>
    <w:p w14:paraId="13285046" w14:textId="77777777" w:rsidR="00BC42D5" w:rsidRPr="000B2523" w:rsidRDefault="00BC42D5" w:rsidP="00BF5F3D">
      <w:pPr>
        <w:rPr>
          <w:lang w:eastAsia="en-GB"/>
        </w:rPr>
      </w:pPr>
    </w:p>
    <w:p w14:paraId="1488C44E" w14:textId="6452BFC3" w:rsidR="00B26B55" w:rsidRPr="000B2523" w:rsidRDefault="00B20923" w:rsidP="00BF5F3D">
      <w:pPr>
        <w:pStyle w:val="2"/>
        <w:ind w:left="567" w:hanging="578"/>
        <w:rPr>
          <w:sz w:val="24"/>
          <w:szCs w:val="24"/>
        </w:rPr>
      </w:pPr>
      <w:r w:rsidRPr="000B2523">
        <w:t>Η ΕΟΚΕ τονίζει ότι είναι επείγον να σημειωθεί πρόοδος όσον αφορά την προστασία του περιβάλλοντος και την ανθεκτικότητα στην κλιματική αλλαγή στις νησιωτικές περιοχές, οι οποίες είναι δυσανάλογα εκτεθειμένες στην κλιματική αλλαγή. Τάσσεται υπέρ των ολοκληρωμένων και επιστημονικά τεκμηριωμένων προσεγγίσεων προσαρμογής και μετριασμού, που περιλαμβάνουν τον θαλάσσιο χωροταξικό σχεδιασμό, την προστασία της βιοποικιλότητας, την αποκατάσταση των παράκτιων και των θαλάσσιων οικοσυστημάτων, καθώς και τη βιώσιμη διαχείριση των πόρων.</w:t>
      </w:r>
    </w:p>
    <w:p w14:paraId="2EBE7ED4" w14:textId="77777777" w:rsidR="005F7867" w:rsidRPr="000B2523" w:rsidRDefault="005F7867" w:rsidP="000B2523"/>
    <w:p w14:paraId="226E7B63" w14:textId="25497A82" w:rsidR="00A12F82" w:rsidRPr="000B2523" w:rsidRDefault="007232DC" w:rsidP="00BF5F3D">
      <w:pPr>
        <w:pStyle w:val="2"/>
        <w:ind w:left="567" w:hanging="578"/>
      </w:pPr>
      <w:r w:rsidRPr="000B2523">
        <w:t xml:space="preserve">Η ΕΟΚΕ ζητεί την επίσημη ενσωμάτωση της παρακολούθησης, της ανάλυσης προοπτικών και της συμμετοχικής διακυβέρνησης στις νησιωτικές πολιτικές, προτείνοντας την κατάρτιση </w:t>
      </w:r>
      <w:r w:rsidRPr="000B2523">
        <w:rPr>
          <w:b/>
        </w:rPr>
        <w:t>τακτικής έκθεσης εφαρμογής για τα νησιά</w:t>
      </w:r>
      <w:r w:rsidRPr="000B2523">
        <w:t xml:space="preserve"> με σκοπό την παρακολούθηση βασικών δημογραφικών, οικονομικών, κοινωνικών και περιβαλλοντικών δεικτών. Τονίζει την ανάγκη ενεργού συμμετοχής των τοπικών αρχών, των συμφεροντούχων, της ακαδημαϊκής κοινότητας και των τοπικών κοινοτήτων καθ’ όλα τα στάδια του σχεδιασμού, της εφαρμογής και της αξιολόγησης των πολιτικών.</w:t>
      </w:r>
    </w:p>
    <w:p w14:paraId="7F4F16F7" w14:textId="77777777" w:rsidR="0029092C" w:rsidRPr="000B2523" w:rsidRDefault="0029092C" w:rsidP="00BF5F3D">
      <w:pPr>
        <w:ind w:left="709"/>
        <w:rPr>
          <w:lang w:eastAsia="en-GB"/>
        </w:rPr>
      </w:pPr>
    </w:p>
    <w:p w14:paraId="4561CF37" w14:textId="7E7F3013" w:rsidR="00E046EE" w:rsidRPr="000B2523" w:rsidRDefault="000265F3" w:rsidP="00BF5F3D">
      <w:pPr>
        <w:pStyle w:val="2"/>
        <w:ind w:left="567" w:hanging="578"/>
      </w:pPr>
      <w:r w:rsidRPr="000B2523">
        <w:t>Σε ένα ολοένα και πιο αβέβαιο, πολύπλοκο και άνομο διεθνές περιβάλλον, τα νησιά της ΕΕ δεν πρέπει πλέον να αντιμετωπίζονται ως περιφερειακές περιοχές. Είναι περιοχές πρώτης γραμμής για την κυριαρχία, την ανθεκτικότητα και την ικανότητα καινοτομίας της Ευρώπης. Θα ήταν απαραίτητη μια στοχευμένη, συστημική και νομικά εδραιωμένη στρατηγική της ΕΕ για τα νησιά (</w:t>
      </w:r>
      <w:r w:rsidRPr="000B2523">
        <w:rPr>
          <w:b/>
        </w:rPr>
        <w:t>σύμφωνο για τα νησιά</w:t>
      </w:r>
      <w:r w:rsidRPr="000B2523">
        <w:t>) ώστε τα τελευταία να μετατραπούν σε κινητήριες δυνάμεις βιώσιμης ανάπτυξης, ανθεκτικότητας στην κλιματική αλλαγή και γεωπολιτικής ασφάλειας, στρατηγική η οποία θα διασφαλίσει ότι οι νησιωτικές κοινότητες είναι σε θέση να ευημερήσουν και θα ενισχύσει παράλληλα τη στρατηγική αυτονομία και συνοχή της Ευρώπης. Αυτό αναδείχθηκε πρόσφατα από τον γεωπολιτικά καίριο ρόλο τον οποίο διαδραματίζει η Γροιλανδία στις ισορροπίες ασφαλείας της Αρκτικής, στις διατλαντικές σχέσεις και στον ανταγωνισμό των μεγάλων δυνάμεων, καθώς και από τη σημασία της χώρας αυτής για τη στρατηγική αυτονομία της Ευρώπης στον τομέα της άμυνας, της ενεργειακής ασφάλειας και της πρόσβασης σε κρίσιμους πόρους.</w:t>
      </w:r>
    </w:p>
    <w:p w14:paraId="37367578" w14:textId="77777777" w:rsidR="0029092C" w:rsidRPr="000B2523" w:rsidRDefault="0029092C" w:rsidP="00BF5F3D">
      <w:pPr>
        <w:ind w:left="709"/>
        <w:rPr>
          <w:lang w:eastAsia="en-GB"/>
        </w:rPr>
      </w:pPr>
    </w:p>
    <w:p w14:paraId="5799C4FC" w14:textId="239F22A8" w:rsidR="00E046EE" w:rsidRPr="000B2523" w:rsidRDefault="00E046EE" w:rsidP="00BF5F3D">
      <w:pPr>
        <w:pStyle w:val="1"/>
        <w:keepNext/>
        <w:keepLines/>
        <w:rPr>
          <w:b/>
          <w:bCs/>
        </w:rPr>
      </w:pPr>
      <w:r w:rsidRPr="000B2523">
        <w:rPr>
          <w:b/>
        </w:rPr>
        <w:t>Γενικό πλαίσιο της γνωμοδότησης</w:t>
      </w:r>
    </w:p>
    <w:p w14:paraId="093EC0BB" w14:textId="4774743D" w:rsidR="00BA1DF7" w:rsidRPr="000B2523" w:rsidRDefault="00BA1DF7" w:rsidP="00BF5F3D">
      <w:pPr>
        <w:keepNext/>
        <w:keepLines/>
        <w:ind w:left="709"/>
      </w:pPr>
    </w:p>
    <w:p w14:paraId="29FADD6A" w14:textId="2B42B282" w:rsidR="002A4426" w:rsidRPr="000B2523" w:rsidRDefault="002A4426" w:rsidP="00BF5F3D">
      <w:pPr>
        <w:pStyle w:val="2"/>
        <w:ind w:left="567" w:hanging="578"/>
      </w:pPr>
      <w:r w:rsidRPr="000B2523">
        <w:t>Η ΕΕ περιλαμβάνει πολλές νησιωτικές περιοχές στη Μεσόγειο, τον Ατλαντικό, τη Βόρεια Θάλασσα και τη Βαλτική, καθώς και εξόχως απόκεντρες περιοχές στην Καραϊβική και τον Ινδικό Ωκεανό (π.χ. Άγιος Μαρτίνος, Μαρτινίκα, Ρεϊνιόν, Μαγιότ). Η φινλανδική περιοχή των λιμνών, βασικός εγχώριος και τουριστικός προορισμός, είναι η μεγαλύτερη λιμναία περιοχή της Ευρώπης, με χιλιάδες δασώδη νησιά. Οι νησιωτικές και οι λιμναίες περιοχές έχουν μεγάλη στρατηγική σημασία για τη γαλάζια οικονομία, την ανθεκτικότητα στην κλιματική αλλαγή και την περιφερειακή συνοχή της ΕΕ. Ωστόσο, οι περιφέρειες αυτές αντιμετωπίζουν επίμονες διαρθρωτικές προκλήσεις λόγω της γεωγραφικής θέσης και της κατάστασής τους: απομόνωση, περιορισμένη συνδεσιμότητα, υψηλό κόστος μεταφορών, εξάρτηση από εξωτερικές αλυσίδες εφοδιασμού, περιορισμένη έκταση γης και αυξημένη ευπάθεια σε κλιματικές πιέσεις. Αντιμετωπίζουν επίσης φραγμούς στην ένταξη στην αγορά, ελλείψεις εργατικού δυναμικού και γεωπολιτικές προκλήσεις που σχετίζονται με την ανθεκτικότητα, όπως και οικονομικούς, κοινωνικούς και οικολογικούς κινδύνους. Παρά τη στρατηγική σημασία τους, οι τρέχουσες πολιτικές της ΕΕ δεν επαρκούν για να αντιμετωπίσουν αυτά τα χαρακτηριστικά, περιορίζοντας την αποτελεσματικότητα των στρατηγικών περιφερειακής ανάπτυξης και βιωσιμότητας.</w:t>
      </w:r>
    </w:p>
    <w:p w14:paraId="39FF5A89" w14:textId="14411CAE" w:rsidR="006F0B1F" w:rsidRPr="000B2523" w:rsidRDefault="006F0B1F" w:rsidP="00BF5F3D">
      <w:pPr>
        <w:ind w:left="709"/>
      </w:pPr>
    </w:p>
    <w:p w14:paraId="79FD14A5" w14:textId="53FB2463" w:rsidR="002A4426" w:rsidRPr="000B2523" w:rsidRDefault="006F0B1F" w:rsidP="00BF5F3D">
      <w:pPr>
        <w:pStyle w:val="2"/>
        <w:ind w:left="567" w:hanging="578"/>
      </w:pPr>
      <w:r w:rsidRPr="000B2523">
        <w:t>Η κυπριακή Προεδρία του Συμβουλίου της ΕΕ ζήτησε από την ΕΟΚΕ να καταρτίσει διερευνητική γνωμοδότηση για την ανάδειξη των επιπτώσεων του νησιωτικού χαρακτήρα στην κοινωνία, την εργασία, τις επιχειρήσεις και τις οργανώσεις της κοινωνίας των πολιτών, καθώς και για την υποβολή προτάσεων με μέλημα την «ενσωμάτωση της νησιωτικής διάστασης» σε όλα τα θεσμικά και χρηματοδοτικά μέσα της ΕΕ. Η γνωμοδότηση θα συμβάλει επίσης στον διάλογο σχετικά με τη διαμόρφωση της ευρωπαϊκής στρατηγικής για τα νησιά και τις παράκτιες κοινότητες, ο οποίος —όπως δείχνουν οι τελευταίες εξελίξεις— αναμένεται να δρομολογηθεί από την Ευρωπαϊκή Επιτροπή το δεύτερο τρίμηνο του 2026.</w:t>
      </w:r>
    </w:p>
    <w:p w14:paraId="195DAB56" w14:textId="77777777" w:rsidR="002A4426" w:rsidRPr="000B2523" w:rsidRDefault="002A4426" w:rsidP="000B2523"/>
    <w:p w14:paraId="5558AA39" w14:textId="460674BF" w:rsidR="00CE73CD" w:rsidRPr="000B2523" w:rsidRDefault="00CE73CD" w:rsidP="00BF5F3D">
      <w:pPr>
        <w:pStyle w:val="2"/>
        <w:ind w:left="567" w:hanging="578"/>
      </w:pPr>
      <w:r w:rsidRPr="000B2523">
        <w:t>Δίνεται έμφαση στη διασφάλιση της ανταγωνιστικότητας και της ελκυστικότητας των νησιωτικών περιοχών με την αντιμετώπιση των διαρθρωτικών μειονεκτημάτων που είναι απόρροια του νησιωτικού χαρακτήρα —όπως το υψηλότερο λειτουργικό κόστος— μέσω μεγαλύτερης ευελιξίας στη χορήγηση των κρατικών ενισχύσεων. Αυτό απαιτεί την ενσωμάτωση οριζόντιων, ειδικά σχεδιασμένων διατάξεων στη νομοθεσία περί κρατικών ενισχύσεων της ΕΕ για τα νησιά, τα αρχιπελάγη και τις περιφερειακές και εξόχως απόκεντρες περιοχές, ώστε να αντικατοπτρίζεται ο διαχωρισμός τους από την ηπειρωτική Ευρώπη. Ταυτόχρονα, στόχος είναι να στηριχθεί η διαφοροποίηση των νησιωτικών οικονομιών μέσω της ενίσχυσης της βιώσιμης γαλάζιας οικονομίας ως βασικού μοχλού ανάπτυξης, με παράλληλη επένδυση στην έρευνα, την καινοτομία και την ψηφιοποίηση, καθώς και στην πλήρη αξιοποίηση των στρατηγικών έξυπνης εξειδίκευσης (S3) και των διαπεριφερειακών επενδύσεων στην καινοτομία. Η τεράστια εξάρτηση από τον τουρισμό δημιουργεί μεγάλη ασάφεια και οικονομική ανασφάλεια, συνεπώς είναι αναγκαία η διαφοροποίηση των πράσινων και των γαλάζιων παραγωγικών επενδύσεων.</w:t>
      </w:r>
    </w:p>
    <w:p w14:paraId="07102D59" w14:textId="5F4E20E5" w:rsidR="00035B9F" w:rsidRPr="000B2523" w:rsidRDefault="00035B9F" w:rsidP="00BF5F3D">
      <w:pPr>
        <w:ind w:left="709"/>
      </w:pPr>
    </w:p>
    <w:p w14:paraId="710CDEE5" w14:textId="1DDB881F" w:rsidR="00035B9F" w:rsidRPr="000B2523" w:rsidRDefault="00035B9F" w:rsidP="00BF5F3D">
      <w:pPr>
        <w:pStyle w:val="2"/>
        <w:ind w:left="567" w:hanging="578"/>
      </w:pPr>
      <w:r w:rsidRPr="000B2523">
        <w:t xml:space="preserve">Σύμφωνα με το άρθρο 174 της ΣΛΕΕ και τους βασικούς στόχους της πολιτικής συνοχής της ΕΕ, που απαιτούν να δίνεται ιδιαίτερη προσοχή στα νησιά, τις εξόχως απόκεντρες περιοχές και τις αραιοκατοικημένες περιοχές, οι νησιωτικές περιοχές είναι ιδιαίτερα εκτεθειμένες στον </w:t>
      </w:r>
      <w:r w:rsidRPr="000B2523">
        <w:lastRenderedPageBreak/>
        <w:t>συνεχιζόμενο μετασχηματισμό της ευρωπαϊκής αγοράς εργασίας, καθώς αντιμετωπίζουν επίμονα κενά δεξιοτήτων και ελλείψεις εργατικού δυναμικού που πρέπει να αντιμετωπιστούν πλήρως στο πλαίσιο της μελλοντικής Ένωσης Δεξιοτήτων της ΕΕ. Αυτά τα διαρθρωτικά και μόνιμα μειονεκτήματα επιδεινώνονται από δημογραφικές προκλήσεις, όπως η γήρανση του πληθυσμού και η αποδημία επιστημόνων, καθώς και από μια οξεία στεγαστική κρίση που πλήττει δυσανάλογα τις νησιωτικές περιοχές λόγω της περιορισμένης διαθεσιμότητας γης, της απομακρυσμένης τοποθεσίας και της υψηλής έκθεσης σε κερδοσκοπικές πιέσεις. Επομένως, απαιτούνται πιο αποτελεσματικές, ολοκληρωμένες και πραγματικά τοποκεντρικές κοινωνικές πολιτικές και πολιτικές απασχόλησης και στέγασης, προκειμένου να διασφαλιστεί ότι οι κάτοικοι των νησιών μπορούν να επωφεληθούν πλήρως από ένα βιώσιμο μοντέλο κοινωνικής ανάπτυξης κατά τον ίδιο τρόπο με όλους τους πολίτες της ΕΕ. Ένα τέτοιο μοντέλο θα πρέπει να βασίζεται σε μια προσβάσιμη και χωρίς αποκλεισμούς αγορά εργασίας, στην εκσυγχρονισμένη προστασία των εργαζομένων, σε ποιοτικές θέσεις εργασίας και οικονομικά προσιτή στέγαση, προκειμένου να διατηρηθεί το ανθρώπινο κεφάλαιο, να αποτραπεί η πληθυσμιακή συρρίκνωση των περιφερειών, να ενισχυθεί η οικονομική, κοινωνική και εδαφική συνοχή, και να διασφαλιστεί ουσιαστικά το «δικαίωμα παραμονής» στις νησιωτικές κοινότητες. Στο πλαίσιο αυτό, η ΕΟΚΕ καλεί τα θεσμικά όργανα της ΕΕ να λάβουν πλήρως υπόψη τους ειδικούς περιορισμούς στους οποίους υπόκεινται τα νησιά, παράλληλα με εκείνους που αντιμετωπίζουν οι εξόχως απόκεντρες και οι αραιοκατοικημένες περιοχές, και να παράσχουν απτές, ειδικά προσαρμοσμένες λύσεις για τους μόνιμους κατοίκους, ιδίως στο πλαίσιο του νέου ευρωπαϊκού σχεδίου οικονομικά προσιτής στέγασης και των μεταρρυθμίσεων που απαιτούνται για την ενίσχυση και την επέκταση της κοινωνικής στέγασης.</w:t>
      </w:r>
    </w:p>
    <w:p w14:paraId="7AADE323" w14:textId="77777777" w:rsidR="00035B9F" w:rsidRPr="000B2523" w:rsidRDefault="00035B9F" w:rsidP="00BF5F3D">
      <w:pPr>
        <w:ind w:left="709"/>
      </w:pPr>
    </w:p>
    <w:p w14:paraId="59BA0AE5" w14:textId="3688A27E" w:rsidR="00035B9F" w:rsidRPr="000B2523" w:rsidRDefault="00035B9F" w:rsidP="00BF5F3D">
      <w:pPr>
        <w:pStyle w:val="2"/>
        <w:ind w:left="567" w:hanging="578"/>
      </w:pPr>
      <w:r w:rsidRPr="000B2523">
        <w:t>Η ενεργειακή ευπάθεια λόγω της εξάρτησης από εισαγόμενη ενέργεια και των ανεπαρκών συνδέσεων με το δίκτυο, καθώς και η σημαντική ευπάθεια στην κλιματική αλλαγή (άνοδος της στάθμης της θάλασσας, λειψυδρία, απερήμωση, συνθήκες που κάνουν τους πάγους να υποχωρούν, ακραία ζέστη και αιφνίδιες κλιματικές καταστροφές κ.λπ.) αποτελούν παράγοντες που κάνουν τη ζωή πιο περίπλοκη για τους νησιώτες. Η συνδεσιμότητα και οι μεταφορές απαιτούν περαιτέρω βελτίωση, διότι υπάρχει μεγάλη ανάγκη για εγγυημένες «υπηρεσίες δημόσιων μεταφορών» (ακτοπλοΐα/αεροπορία) προκειμένου να μετριαστούν οι συνέπειες του φυσικού γεωγραφικού διαχωρισμού τους από την ηπειρωτική χώρα. Τέλος, ένα άλλο σύνολο πολιτικών που θα πρέπει να αναφερθούν σχετίζεται με τις μεταναστευτικές και τις εξωτερικές πιέσεις: οι νησιωτικές περιοχές βρίσκονται συχνά στα εξωτερικά θαλάσσια σύνορα της ΕΕ και υπάρχει επείγουσα ανάγκη για στήριξη όσον αφορά τη διαχείριση των μεταναστευτικών ροών και την ασφάλεια.</w:t>
      </w:r>
    </w:p>
    <w:p w14:paraId="594674F9" w14:textId="77777777" w:rsidR="006F0B1F" w:rsidRPr="000B2523" w:rsidRDefault="006F0B1F" w:rsidP="00BF5F3D">
      <w:pPr>
        <w:ind w:left="709"/>
      </w:pPr>
    </w:p>
    <w:p w14:paraId="0B7D5AA5" w14:textId="7792DEA2" w:rsidR="00E046EE" w:rsidRPr="000B2523" w:rsidRDefault="00E046EE" w:rsidP="00BF5F3D">
      <w:pPr>
        <w:pStyle w:val="1"/>
        <w:keepNext/>
        <w:rPr>
          <w:b/>
          <w:bCs/>
        </w:rPr>
      </w:pPr>
      <w:r w:rsidRPr="000B2523">
        <w:rPr>
          <w:b/>
        </w:rPr>
        <w:t>Γενικές παρατηρήσεις</w:t>
      </w:r>
    </w:p>
    <w:p w14:paraId="630B2EA0" w14:textId="77777777" w:rsidR="00E046EE" w:rsidRPr="000B2523" w:rsidRDefault="00E046EE" w:rsidP="00BF5F3D">
      <w:pPr>
        <w:keepNext/>
        <w:ind w:left="709"/>
      </w:pPr>
    </w:p>
    <w:p w14:paraId="5B037654" w14:textId="57B23FD1" w:rsidR="00C10675" w:rsidRPr="000B2523" w:rsidRDefault="00213CEC" w:rsidP="00BF5F3D">
      <w:pPr>
        <w:pStyle w:val="2"/>
        <w:keepNext/>
        <w:ind w:left="567" w:hanging="578"/>
      </w:pPr>
      <w:r w:rsidRPr="000B2523">
        <w:t xml:space="preserve">Η ΕΟΚΕ είναι της άποψης ότι οι </w:t>
      </w:r>
      <w:r w:rsidRPr="000B2523">
        <w:rPr>
          <w:b/>
        </w:rPr>
        <w:t>αρχές της συνοχής, της ανθεκτικότητας, της βιωσιμότητας, της ένταξης, της επικουρικότητας και της εδαφικής ισότητας</w:t>
      </w:r>
      <w:r w:rsidRPr="000B2523">
        <w:t xml:space="preserve"> θα πρέπει να ενσωματωθούν σε έναν πυλώνα της μελλοντικής </w:t>
      </w:r>
      <w:r w:rsidRPr="000B2523">
        <w:rPr>
          <w:b/>
        </w:rPr>
        <w:t>στρατηγικής της ΕΕ για τα νησιά</w:t>
      </w:r>
      <w:r w:rsidRPr="000B2523">
        <w:t xml:space="preserve">. Επιπλέον, η ΕΟΚΕ πιστεύει ότι οι αρχές αυτές, μαζί με τον </w:t>
      </w:r>
      <w:r w:rsidRPr="000B2523">
        <w:rPr>
          <w:b/>
        </w:rPr>
        <w:t>νησιωτικό χαρακτήρα</w:t>
      </w:r>
      <w:r w:rsidRPr="000B2523">
        <w:t xml:space="preserve">, θα πρέπει επίσης να συμπεριληφθούν στα εθνικά και περιφερειακά σχέδια εταιρικής σχέσης (ΕΠΕΣ) και να μετουσιωθούν σε μέτρα που σχετίζονται με τη στέγαση, τις μεταφορές και την απανθρακοποίησή τους, τη διαχείριση των υδάτων και των αποβλήτων, την προσαρμογή στην κλιματική αλλαγή, την πρόσβαση στην υγειονομική περίθαλψη και τις οικονομικές ευκαιρίες. Η </w:t>
      </w:r>
      <w:r w:rsidRPr="000B2523">
        <w:lastRenderedPageBreak/>
        <w:t xml:space="preserve">ΕΟΚΕ θεωρεί αναγκαία την κατάρτιση ετήσιας ή διετούς έκθεσης εφαρμογής για τα νησιά, όπου θα αξιολογείται η πρόοδος —μέσω ενός συνόλου δεικτών— όσον αφορά τα δημογραφικά, οικονομικά, περιβαλλοντικά και κοινωνικά θέματα, και η οποία θα μπορούσε να χρησιμεύσει ως συμβολή στη στρατηγική της ΕΕ για τα νησιά. Αυτό το είδος των στοιχείων δεν θα πρέπει να χρησιμοποιείται μόνο για την επικαιροποίηση της στρατηγικής της ΕΕ για τα νησιά, αλλά και για την επίτευξη του τελικού στόχου: </w:t>
      </w:r>
      <w:r w:rsidRPr="000B2523">
        <w:rPr>
          <w:b/>
        </w:rPr>
        <w:t>προσαρμογή ολόκληρου του φάσματος των πολιτικών της ΕΕ στην ιδιαίτερη πραγματικότητα των νησιών</w:t>
      </w:r>
      <w:r w:rsidRPr="000B2523">
        <w:t>.</w:t>
      </w:r>
      <w:r w:rsidRPr="000B2523">
        <w:rPr>
          <w:rFonts w:ascii="Helvetica" w:hAnsi="Helvetica"/>
          <w:sz w:val="24"/>
        </w:rPr>
        <w:t xml:space="preserve"> </w:t>
      </w:r>
      <w:r w:rsidRPr="000B2523">
        <w:t>Η έκθεση θα πρέπει επίσης να περιλαμβάνει μια διάσταση ανάλυσης προοπτικών που θα εμπεριέχει την εκπόνηση σεναρίων για τις δημογραφικές τάσεις, τις κλιματικές επιπτώσεις και την ενεργειακή μετάβαση, μεταξύ άλλων στο πλαίσιο της έκθεσης στρατηγικής ανάλυσης προοπτικών της Ευρωπαϊκής Επιτροπής για το 2025</w:t>
      </w:r>
      <w:r w:rsidR="00BE5E5F" w:rsidRPr="000B2523">
        <w:rPr>
          <w:rStyle w:val="a6"/>
        </w:rPr>
        <w:footnoteReference w:id="1"/>
      </w:r>
      <w:r w:rsidRPr="000B2523">
        <w:t>, η οποία προτείνει μια αλλαγή στο πλαίσιο «Ανθεκτικότητα 2.0».</w:t>
      </w:r>
    </w:p>
    <w:p w14:paraId="482406DA" w14:textId="77777777" w:rsidR="00C10675" w:rsidRPr="000B2523" w:rsidRDefault="00C10675" w:rsidP="00BF5F3D">
      <w:pPr>
        <w:ind w:left="709"/>
        <w:rPr>
          <w:sz w:val="16"/>
          <w:szCs w:val="16"/>
        </w:rPr>
      </w:pPr>
    </w:p>
    <w:p w14:paraId="7BE653FA" w14:textId="33A4C691" w:rsidR="00D861D9" w:rsidRPr="000B2523" w:rsidRDefault="00D861D9" w:rsidP="00BF5F3D">
      <w:pPr>
        <w:pStyle w:val="2"/>
        <w:keepNext/>
        <w:ind w:left="567" w:hanging="578"/>
      </w:pPr>
      <w:r w:rsidRPr="000B2523">
        <w:t xml:space="preserve">Η ΕΟΚΕ ζητεί τη θέσπιση ενός διαφορετικού και αυτόνομου θεματολογίου της ΕΕ για τα νησιά, χωριστού —τουλάχιστον προς το παρόν— από το πλαίσιο που αφορά τις παράκτιες κοινότητες. Το θεματολόγιο αυτό θα πρέπει να βασίζεται σε ένα </w:t>
      </w:r>
      <w:r w:rsidRPr="000B2523">
        <w:rPr>
          <w:b/>
        </w:rPr>
        <w:t>σύμφωνο για τα νησιά</w:t>
      </w:r>
      <w:r w:rsidRPr="000B2523">
        <w:t>, το οποίο θα καλύπτει πολλαπλά χαρτοφυλάκια της Ευρωπαϊκής Επιτροπής. Στη συνέχεια, θα μπορούσε να τεθεί σε εφαρμογή μέσω σχεδίου δράσης για τα νησιά και ειδικού νομοθετικού μέσου (πράξη για τα νησιά), στο πλαίσιο της οποίας κάθε Γενική Διεύθυνση και οργανισμός της ΕΕ θα δεσμεύεται να λαμβάνει συστηματικά υπόψη τον νησιωτικό και τον απομακρυσμένο χαρακτήρα των εκάστοτε περιοχών. Η προσέγγιση αυτή θα υλοποιηθεί μέσω της ανάπτυξης στοχευμένων πρωτοβουλιών με επίκεντρο τα νησιά, σύμφωνα με το παράδειγμα της Γενικής Διεύθυνσης Ενέργειας με την πρωτοβουλία «Καθαρή ενέργεια για τα νησιά της ΕΕ»</w:t>
      </w:r>
      <w:r w:rsidR="00BE5E5F" w:rsidRPr="000B2523">
        <w:rPr>
          <w:rStyle w:val="a6"/>
        </w:rPr>
        <w:footnoteReference w:id="2"/>
      </w:r>
      <w:r w:rsidRPr="000B2523">
        <w:t xml:space="preserve"> και το πρόγραμμα ειδικών μέτρων λόγω του απομακρυσμένου και νησιωτικού χαρακτήρα ορισμένων περιφερειών (POSEI), με μέτρα τα οποία χρηματοδοτούνται από το Ευρωπαϊκό Γεωργικό Ταμείο Εγγυήσεων (ΕΓΤΕ)</w:t>
      </w:r>
      <w:r w:rsidR="00BE5E5F" w:rsidRPr="000B2523">
        <w:rPr>
          <w:rStyle w:val="a6"/>
        </w:rPr>
        <w:footnoteReference w:id="3"/>
      </w:r>
      <w:r w:rsidRPr="000B2523">
        <w:t>.</w:t>
      </w:r>
    </w:p>
    <w:p w14:paraId="1A29F075" w14:textId="32338382" w:rsidR="00F226DF" w:rsidRPr="000B2523" w:rsidRDefault="00F226DF" w:rsidP="000B2523"/>
    <w:p w14:paraId="55067EFD" w14:textId="02F6ED7F" w:rsidR="00B41AF4" w:rsidRPr="000B2523" w:rsidRDefault="003748CC" w:rsidP="00BF5F3D">
      <w:pPr>
        <w:pStyle w:val="2"/>
        <w:keepNext/>
        <w:ind w:left="567" w:hanging="578"/>
      </w:pPr>
      <w:r w:rsidRPr="000B2523">
        <w:t xml:space="preserve">Τόσο το </w:t>
      </w:r>
      <w:r w:rsidRPr="000B2523">
        <w:rPr>
          <w:b/>
        </w:rPr>
        <w:t>σύμφωνο για τα νησιά</w:t>
      </w:r>
      <w:r w:rsidRPr="000B2523">
        <w:t xml:space="preserve"> όσο και η </w:t>
      </w:r>
      <w:r w:rsidRPr="000B2523">
        <w:rPr>
          <w:b/>
        </w:rPr>
        <w:t>πράξη για τα νησιά</w:t>
      </w:r>
      <w:r w:rsidRPr="000B2523">
        <w:t xml:space="preserve"> θα συνάδουν με το μακρόπνοο όραμα για τις αγροτικές περιοχές, καθώς επίσης με τη στρατηγική για τις παράκτιες περιοχές της ΕΕ. Το νέο Σώμα των Επιτρόπων (το οποίο ανέλαβε καθήκοντα την 1η Δεκεμβρίου 2024 για τη θητεία 2024-2029 της Ευρωπαϊκής Επιτροπής) αναγνώρισε τη σημασία των </w:t>
      </w:r>
      <w:r w:rsidRPr="000B2523">
        <w:rPr>
          <w:b/>
        </w:rPr>
        <w:t>παράκτιων περιοχών και των παράκτιων κοινοτήτων</w:t>
      </w:r>
      <w:r w:rsidRPr="000B2523">
        <w:t xml:space="preserve"> για τη διασφάλιση οικονομικών ευκαιριών και ανάπτυξης, την προώθηση της προσαρμογής στην κλιματική αλλαγή και την ενίσχυση της εξωτερικής ασφάλειας της ΕΕ. Στις επιστολές ανάθεσης καθηκόντων της Προέδρου Ursula von der Leyen δίδεται έμφαση στην υποστήριξη των παράκτιων κοινοτήτων της Ευρώπης και ενθαρρύνεται ο Ευρωπαίος επίτροπος Αλιείας και Ωκεανών, Κώστας Καδής, να αναπτύξει νέα επιχειρηματικά μοντέλα και να ανταποκριθεί στις ιδιαίτερες προκλήσεις με τις οποίες αυτές βρίσκονται αντιμέτωπες. Στην επιστολή ανάθεσης καθηκόντων προς τον εκτελεστικό αντιπρόεδρο Raffaele Fitto τονίζεται επίσης η ανάγκη διασφάλισης οικονομικών ευκαιριών στις περιοχές αυτές. Στις πολιτικές κατευθύνσεις της κ. von der Leyen υπογραμμίζονται η ανθεκτικότητα στην κλιματική αλλαγή, η ετοιμότητα και η ευπάθεια των παράκτιων ζωνών της Ευρώπης, παράλληλα με τον ζωτικό ρόλο της αλιείας στη διατήρηση των παράκτιων κοινοτήτων. Η σύμβαση-πλαίσιο με τίτλο «Μελέτη για την ανθεκτικότητα και την τοπική </w:t>
      </w:r>
      <w:r w:rsidRPr="000B2523">
        <w:lastRenderedPageBreak/>
        <w:t>οικονομική ανάπτυξη στις παράκτιες κοινότητες της ΕΕ» θα πρέπει να επεκταθεί ώστε να συμπεριλάβει πανευρωπαϊκή μελέτη σχετικά με τις «</w:t>
      </w:r>
      <w:r w:rsidRPr="000B2523">
        <w:rPr>
          <w:b/>
        </w:rPr>
        <w:t>θαλάσσιες λειτουργικές ζώνες</w:t>
      </w:r>
      <w:r w:rsidRPr="000B2523">
        <w:t xml:space="preserve">», οι οποίες αποτελούνται από παράκτιες κοινότητες και παρακείμενα νησιά ή γειτονικές νησιωτικές περιοχές. Μια τέτοια μελέτη θα ήταν στρατηγικής σημασίας για τον θαλάσσιο χωροταξικό σχεδιασμό, διότι εξετάζει τη διάσταση της αλληλεπίδρασης ξηράς-θάλασσας που τονίζεται στην οδηγία για τον θαλάσσιο χωροταξικό σχεδιασμό και διευκολύνει τη </w:t>
      </w:r>
      <w:r w:rsidRPr="000B2523">
        <w:rPr>
          <w:b/>
        </w:rPr>
        <w:t>συντονισμένη ανάπτυξη των θαλάσσιων και παράκτιων δραστηριοτήτων</w:t>
      </w:r>
      <w:r w:rsidRPr="000B2523">
        <w:t xml:space="preserve">. Ενσωματώνοντας ρητά αυτές τις ζώνες, η μελέτη θα στηρίξει έμμεσα τη βιώσιμη περιφερειακή ανάπτυξη, θα ενισχύσει την ανθεκτικότητα των τοπικών οικονομιών και θα προωθήσει την αρμονική συνύπαρξη των θαλάσσιων κλάδων δραστηριότητας (συμπεριλαμβανομένων των πολλαπλών χρήσεων) σε όλες τις παράκτιες και θαλάσσιες περιοχές. </w:t>
      </w:r>
    </w:p>
    <w:p w14:paraId="39CCDD85" w14:textId="16D21ADE" w:rsidR="002A4319" w:rsidRPr="000B2523" w:rsidRDefault="002A4319" w:rsidP="00BF5F3D">
      <w:pPr>
        <w:ind w:left="709"/>
      </w:pPr>
    </w:p>
    <w:p w14:paraId="3C4B695D" w14:textId="2E544BC3" w:rsidR="00047E51" w:rsidRPr="000B2523" w:rsidRDefault="00047E51" w:rsidP="00BF5F3D">
      <w:pPr>
        <w:pStyle w:val="1"/>
        <w:keepNext/>
        <w:keepLines/>
        <w:rPr>
          <w:b/>
          <w:bCs/>
        </w:rPr>
      </w:pPr>
      <w:r w:rsidRPr="000B2523">
        <w:rPr>
          <w:b/>
        </w:rPr>
        <w:t>Το νησιωτικό ζήτημα στην ΕΕ</w:t>
      </w:r>
    </w:p>
    <w:p w14:paraId="1B25DE69" w14:textId="77777777" w:rsidR="00624603" w:rsidRPr="000B2523" w:rsidRDefault="00624603" w:rsidP="00BF5F3D">
      <w:pPr>
        <w:keepNext/>
        <w:keepLines/>
        <w:ind w:left="709"/>
        <w:rPr>
          <w:lang w:eastAsia="el-GR"/>
        </w:rPr>
      </w:pPr>
    </w:p>
    <w:p w14:paraId="745C6EF1" w14:textId="35B82D36" w:rsidR="005768D9" w:rsidRPr="000B2523" w:rsidRDefault="005768D9" w:rsidP="00BF5F3D">
      <w:pPr>
        <w:pStyle w:val="2"/>
        <w:keepNext/>
        <w:ind w:left="567" w:hanging="578"/>
      </w:pPr>
      <w:r w:rsidRPr="000B2523">
        <w:t xml:space="preserve">Σε ολόκληρη την Ευρώπη, τα νησιά διαφέρουν ως προς το οικολογικό, το οικονομικό και το θεσμικό τους περιβάλλον, όμως βρίσκονται όλα τους αντιμέτωπα με διαρθρωτικούς περιορισμούς που οφείλονται στην </w:t>
      </w:r>
      <w:r w:rsidRPr="000B2523">
        <w:rPr>
          <w:b/>
        </w:rPr>
        <w:t>εδαφική ασυνέχεια</w:t>
      </w:r>
      <w:r w:rsidRPr="000B2523">
        <w:t>. Μεταξύ των προκλήσεων αυτών, οι οποίες αναγνωρίζονται στο άρθρο 174 της ΣΛΕΕ, περιλαμβάνονται το υψηλό κόστος μεταφορών και η περιορισμένη προσβασιμότητα, τα οποία περιορίζουν την κυκλοφορία προσώπων και αγαθών. Οι νησιωτικές οικονομίες συχνά εξαρτώνται από μονοπωλιακά ή ολιγοπωλιακά συστήματα μεταφοράς και διανομής που πολλαπλασιάζουν τα έξοδα παραγωγής, αυξάνουν το κόστος ζωής και υπονομεύουν την ανταγωνιστικότητα. Πολλά νησιά βρίσκονται επίσης αντιμέτωπα με την αποδημία ειδικευμένων εργαζομένων, με τη δημογραφική γήρανση και με την άσκηση έντονης πίεσης στη γη και στις κατοικίες λόγω του εποχικού τουρισμού. Η περιορισμένη οικονομική τους εξειδίκευση και η εξωτερική τους εξάρτηση τα εκθέτουν ακόμη περισσότερο σε κλυδωνισμούς, ενώ η κλιματική αλλαγή εντείνει τους κινδύνους, όπως τα κύματα καύσωνα, οι πλημμύρες, οι καταιγίδες, η άνοδος της στάθμης της θάλασσας κ.λπ. Αυτά τα σωρευτικά τρωτά σημεία ―γεωγραφική απομόνωση, ανεπαρκής συνδεσιμότητα, οικονομική αστάθεια και διατάραξη του κλίματος― τεκμηριώνονται δεόντως στη σχετική βιβλιογραφία.</w:t>
      </w:r>
    </w:p>
    <w:p w14:paraId="648F49AA" w14:textId="77777777" w:rsidR="00083786" w:rsidRPr="000B2523" w:rsidRDefault="00083786" w:rsidP="00BF5F3D">
      <w:pPr>
        <w:ind w:left="709"/>
      </w:pPr>
    </w:p>
    <w:p w14:paraId="5B777836" w14:textId="1B0EA09D" w:rsidR="0083744F" w:rsidRPr="000B2523" w:rsidRDefault="00695608" w:rsidP="00BF5F3D">
      <w:pPr>
        <w:pStyle w:val="2"/>
        <w:keepNext/>
        <w:ind w:left="567" w:hanging="578"/>
      </w:pPr>
      <w:r w:rsidRPr="000B2523">
        <w:rPr>
          <w:b/>
        </w:rPr>
        <w:t>Τα νησιά δεν είναι μόνο τουριστικοί προορισμοί</w:t>
      </w:r>
      <w:r w:rsidRPr="000B2523">
        <w:t xml:space="preserve"> ― κρύβουν μια σύνθετη οικονομική και γεωπολιτική πραγματικότητα την οποία οι υπεύθυνοι χάραξης πολιτικής της ΕΕ πρέπει να λάβουν σοβαρά υπόψη σε έναν ολοένα και πιο αβέβαιο και ευμετάβλητο κόσμο. Προτού η ΕΟΚΕ διατυπώσει συγκεκριμένες προτάσεις πολιτικής, είναι απολύτως απαραίτητο να αποσαφηνιστεί το εννοιολογικό πλαίσιο: τα νησιά </w:t>
      </w:r>
      <w:r w:rsidRPr="000B2523">
        <w:rPr>
          <w:b/>
        </w:rPr>
        <w:t>πρέπει να εξετάζονται ολιστικά</w:t>
      </w:r>
      <w:r w:rsidRPr="000B2523">
        <w:t>, ως αναπόσπαστα στοιχεία των αντίστοιχων κρατών τους, και οι ειδικές προκλήσεις και ικανότητές τους να προσδιορίζονται συστηματικά.</w:t>
      </w:r>
    </w:p>
    <w:p w14:paraId="5F061D63" w14:textId="77777777" w:rsidR="00083786" w:rsidRPr="000B2523" w:rsidRDefault="00083786" w:rsidP="00BF5F3D">
      <w:pPr>
        <w:ind w:left="709"/>
      </w:pPr>
    </w:p>
    <w:p w14:paraId="484AE37A" w14:textId="454C3C9D" w:rsidR="00047E51" w:rsidRPr="000B2523" w:rsidRDefault="00047E51" w:rsidP="00BF5F3D">
      <w:pPr>
        <w:pStyle w:val="2"/>
        <w:keepNext/>
        <w:ind w:left="567" w:hanging="578"/>
      </w:pPr>
      <w:r w:rsidRPr="000B2523">
        <w:t>Εντός της Ευρώπης, ορισμένες χώρες έχουν αρχιπελαγικό χαρακτήρα, αποτελούμενες είτε από ένα μόνο νησί είτε από ένα σύμπλεγμα νησιών. Για τα κράτη αυτά δεν τίθεται διακριτό «νησιωτικό ζήτημα», δεδομένου ότι τα ίδια τα νησιά αποτελούν το σύνολο του κράτους, αλλά προκύπτει μια πρόκληση θαλάσσιας διακυβέρνησης, διότι η θάλασσα αποτελεί θεμελιώδη διάσταση της εδαφικής, οικονομικής και λειτουργικής ταυτότητάς τους. Αυτό ισχύει, για παράδειγμα, για την Ιρλανδία, τη Μάλτα και την Κύπρο, οι οποίες θα πρέπει επίσης να επωφελούνται από κανονισμούς του Συμβουλίου που αφορούν ειδικά μέτρα για τη γεωργία.</w:t>
      </w:r>
    </w:p>
    <w:p w14:paraId="5E5B0151" w14:textId="77777777" w:rsidR="00083786" w:rsidRPr="000B2523" w:rsidRDefault="00083786" w:rsidP="00BF5F3D">
      <w:pPr>
        <w:ind w:left="709"/>
      </w:pPr>
    </w:p>
    <w:p w14:paraId="7C05A7EB" w14:textId="650A6856" w:rsidR="00047E51" w:rsidRPr="000B2523" w:rsidRDefault="00047E51" w:rsidP="00BF5F3D">
      <w:pPr>
        <w:pStyle w:val="2"/>
        <w:keepNext/>
        <w:ind w:left="567" w:hanging="578"/>
      </w:pPr>
      <w:r w:rsidRPr="000B2523">
        <w:lastRenderedPageBreak/>
        <w:t>Ένα πιο σύνθετο σύνολο ζητημάτων διακυβέρνησης και πολιτικής τίθεται για τα κράτη που διαθέτουν τόσο ηπειρωτικές όσο και νησιωτικές περιοχές. Στις συγκεκριμένες περιπτώσεις, τα νησιά πρέπει να νοούνται και να αντιμετωπίζονται ως πλήρως ενσωματωμένα και λειτουργικά ισοδύναμα στοιχεία της εθνικής επικράτειας. Εμφανίζουν ιδιαίτερα πλεονεκτήματα, ιδιάζοντες περιορισμούς και ειδικές αναπτυξιακές ανάγκες ―ακριβώς όπως και κάθε άλλη περιοχή του ενδιαφερόμενου κράτους― που πρέπει να αντιμετωπιστούν σύμφωνα με τους πρωταρχικούς στόχους της εδαφικής συνοχής και της ισόρροπης ανάπτυξης. Η επίτευξη των εν λόγω στόχων απαιτεί ισχυρούς λειτουργικούς δεσμούς, συγκρίσιμους με τους ήδη υφιστάμενους μεταξύ των πόλεων και κωμοπόλεων της ηπειρωτικής χώρας και των ευρύτερων διοικητικών και οικονομικών περιφερειών τους.</w:t>
      </w:r>
    </w:p>
    <w:p w14:paraId="5B519A22" w14:textId="77777777" w:rsidR="00083786" w:rsidRPr="000B2523" w:rsidRDefault="00083786" w:rsidP="00BF5F3D">
      <w:pPr>
        <w:ind w:left="709"/>
      </w:pPr>
    </w:p>
    <w:p w14:paraId="6701B1AA" w14:textId="19D045FE" w:rsidR="00EB7D9F" w:rsidRPr="000B2523" w:rsidRDefault="00EB7D9F" w:rsidP="00BF5F3D">
      <w:pPr>
        <w:pStyle w:val="2"/>
        <w:keepNext/>
        <w:ind w:left="567" w:hanging="578"/>
      </w:pPr>
      <w:r w:rsidRPr="000B2523">
        <w:t>Καίρια πρόκληση για τα νησιά ―η οποία συγκροτεί τα οικονομικά, κοινωνικά, πολιτικά, πολιτισμικά και δημογραφικά τρωτά τους σημεία― αποτελεί η συνεχιζόμενη αδυναμία των κεντρικών κυβερνήσεων να τα αντιμετωπίζουν ως ισότιμες και πλήρως ενσωματωμένες περιφέρειες. Όταν προσεγγίζουν τα νησιά ως αυτόνομες ή απομονωμένες περιοχές και όχι ως τμήματα μιας συνεκτικής εθνικής επικράτειας, τα κράτη επιτείνουν το φαινόμενο του «διπλού νησιωτικού χαρακτήρα». Τα μικρότερα νησιά πάσχουν από ανεπαρκή συνδεσιμότητα, τόσο με τα μεγαλύτερα νησιά που παρέχουν βασικές υπηρεσίες και εμπορικές συνδέσεις όσο και με την ηπειρωτική χώρα. Αυτή η άνιση μεταχείριση υπονομεύει τον στόχο της εδαφικής συνοχής, όπως ορίζεται στη ΣΛΕΕ. Ταυτόχρονα, η Ευρωπαϊκή Επιτροπή δεν επιδεικνύει τον ίδιο βαθμό προσήλωσης όσον αφορά την ένταξη των νησιωτικών περιοχών στους βασικούς στόχους της κοινωνικής, οικονομικής και πολιτικής συνοχής με εκείνον που επιφυλάσσει σε άλλες κατηγορίες περιφερειών.</w:t>
      </w:r>
    </w:p>
    <w:p w14:paraId="6619CE9A" w14:textId="77777777" w:rsidR="00083786" w:rsidRPr="000B2523" w:rsidRDefault="00083786" w:rsidP="00BF5F3D">
      <w:pPr>
        <w:ind w:left="709"/>
      </w:pPr>
    </w:p>
    <w:p w14:paraId="5478D938" w14:textId="1B3469E0" w:rsidR="00047E51" w:rsidRPr="000B2523" w:rsidRDefault="00047E51" w:rsidP="00BF5F3D">
      <w:pPr>
        <w:pStyle w:val="2"/>
        <w:keepNext/>
        <w:ind w:left="567" w:hanging="578"/>
      </w:pPr>
      <w:r w:rsidRPr="000B2523">
        <w:t xml:space="preserve">Ωστόσο, πέρα από τους περιορισμούς που αντιμετωπίζουν, τα νησιά και οι θάλασσες που τα περιβάλλουν έχουν ―ή μπορούν να αποκτήσουν― στρατηγική σημασία. Οι θάλασσες αποτελούν τον </w:t>
      </w:r>
      <w:r w:rsidRPr="000B2523">
        <w:rPr>
          <w:b/>
        </w:rPr>
        <w:t>ακρογωνιαίο λίθο του σύγχρονου παγκόσμιου συστήματος</w:t>
      </w:r>
      <w:r w:rsidRPr="000B2523">
        <w:t>. Κατά τον ρου της ιστορίας, οι θαλάσσιες οδοί κατέστησαν δυνατές τις εξερευνήσεις, τις ανταλλαγές και τις κατακτήσεις, προωθώντας τις συναντήσεις μεταξύ πολιτισμών και διαμορφώνοντας τις πολιτιστικές και οικονομικές ταυτότητες σε παγκόσμια κλίμακα. Πρόκειται για ρόλο τον οποίο τα νησιά εξακολουθούν να διαδραματίζουν στις μέρες μας ως κόμβοι συνδεσιμότητας. Παρά την ιστορική και δυνητικά στρατηγική αξία των νησιών, ο παραδοσιακός τους ρόλος έχει εμφανώς εξασθενήσει ―ή ακόμη και εντελώς περιθωριοποιηθεί― μολονότι τα νησιά εξακολουθούν να απορροφούν τις αρνητικές εξωτερικές επιδράσεις της παγκοσμιοποίησης, ιδίως δε την ανεξέλεγκτη άφιξη παράτυπων μεταναστών προπάντων στα ελληνικά και τα ιταλικά νησιά, αλλά και στα ισπανικά, δεδομένου του μεγάλου αντικτύπου της μεταναστευτικής οδού της Δυτικής Αφρικής στις Κανάριες Νήσους.</w:t>
      </w:r>
    </w:p>
    <w:p w14:paraId="387F4331" w14:textId="77777777" w:rsidR="00083786" w:rsidRPr="000B2523" w:rsidRDefault="00083786" w:rsidP="00BF5F3D">
      <w:pPr>
        <w:ind w:left="709"/>
        <w:rPr>
          <w:lang w:eastAsia="el-GR"/>
        </w:rPr>
      </w:pPr>
    </w:p>
    <w:p w14:paraId="4C7FE465" w14:textId="6169C284" w:rsidR="00083786" w:rsidRPr="000B2523" w:rsidRDefault="00047E51" w:rsidP="00BF5F3D">
      <w:pPr>
        <w:pStyle w:val="2"/>
        <w:keepNext/>
        <w:ind w:left="567" w:hanging="578"/>
      </w:pPr>
      <w:r w:rsidRPr="000B2523">
        <w:t xml:space="preserve">Ακριβώς αυτό το φαινόμενο καταδεικνύει τη διαχρονική </w:t>
      </w:r>
      <w:r w:rsidRPr="000B2523">
        <w:rPr>
          <w:b/>
        </w:rPr>
        <w:t>γεωπολιτική σημασία</w:t>
      </w:r>
      <w:r w:rsidRPr="000B2523">
        <w:t xml:space="preserve"> τους. Τα νησιά ―και οι θαλάσσιες ζώνες που τα περιβάλλουν― δεν μπορούν να θεωρηθούν περιφερειακές ή μειονεκτούσες περιοχές· αποτελούν, εκ των πραγμάτων, </w:t>
      </w:r>
      <w:r w:rsidRPr="000B2523">
        <w:rPr>
          <w:b/>
        </w:rPr>
        <w:t>ζωτικούς κόμβους εντός της γεωπολιτικής αρχιτεκτονικής της Ευρώπης</w:t>
      </w:r>
      <w:r w:rsidRPr="000B2523">
        <w:t xml:space="preserve"> και ως τέτοιοι πρέπει να αντιμετωπίζονται κατά τον σχεδιασμό των πολιτικών και την κατανομή των πόρων. Επιπλέον, τα νησιά ―είτε είναι απομονωμένα είτε οργανωμένα σε συνεκτικά και λειτουργικά «συμπλέγματα»― έχουν ισοδύναμο ρόλο με εκείνον των ηπειρωτικών περιοχών στη λειτουργία των κρατών τους και πρέπει, επομένως, να νοούνται ως </w:t>
      </w:r>
      <w:r w:rsidRPr="000B2523">
        <w:rPr>
          <w:b/>
        </w:rPr>
        <w:t>λειτουργικά διασυνδεδεμένα με τις ηπειρωτικές περιοχές</w:t>
      </w:r>
      <w:r w:rsidRPr="000B2523">
        <w:t xml:space="preserve"> </w:t>
      </w:r>
      <w:r w:rsidRPr="000B2523">
        <w:lastRenderedPageBreak/>
        <w:t>διότι μπορούν να αποτελέσουν κινητήριες δυνάμεις της εθνικής ανάπτυξης, όπως καταδεικνύουν πολυάριθμα ιστορικά προηγούμενα.</w:t>
      </w:r>
    </w:p>
    <w:p w14:paraId="31583B43" w14:textId="77777777" w:rsidR="00083786" w:rsidRPr="000B2523" w:rsidRDefault="00083786" w:rsidP="00BF5F3D">
      <w:pPr>
        <w:ind w:left="709"/>
        <w:rPr>
          <w:lang w:eastAsia="el-GR"/>
        </w:rPr>
      </w:pPr>
    </w:p>
    <w:p w14:paraId="317752A8" w14:textId="133C37CE" w:rsidR="003C5176" w:rsidRPr="000B2523" w:rsidRDefault="00047E51" w:rsidP="00BF5F3D">
      <w:pPr>
        <w:pStyle w:val="2"/>
        <w:keepNext/>
        <w:ind w:left="567" w:hanging="578"/>
      </w:pPr>
      <w:r w:rsidRPr="000B2523">
        <w:t xml:space="preserve">Οι εκτιμήσεις αυτές αποτελούν τη </w:t>
      </w:r>
      <w:r w:rsidRPr="000B2523">
        <w:rPr>
          <w:b/>
        </w:rPr>
        <w:t>βάση ανάλυσης για τις προτάσεις πολιτικής της ΕΟΚΕ που θα ακολουθήσουν</w:t>
      </w:r>
      <w:r w:rsidRPr="000B2523">
        <w:t>. Επί του παρόντος, τα νησιά είναι, συγχρόνως, τα πλέον εκτεθειμένα στις παγκόσμιες πιέσεις και τα λιγότερο εξοπλισμένα με τα απαιτούμενα θεσμικά, χρηματοδοτικά και σχετικά με τη διακυβέρνηση «εργαλεία» για μια αποτελεσματική αντίδραση, πράγμα το οποίο αποτελεί διαρθρωτικό παράδοξο εντός του ευρωπαϊκού πλαισίου πολιτικής για την περιφερειακή στήριξη.</w:t>
      </w:r>
    </w:p>
    <w:p w14:paraId="08359A21" w14:textId="77777777" w:rsidR="00083786" w:rsidRPr="000B2523" w:rsidRDefault="00083786" w:rsidP="00BF5F3D">
      <w:pPr>
        <w:ind w:left="709"/>
        <w:rPr>
          <w:lang w:eastAsia="el-GR"/>
        </w:rPr>
      </w:pPr>
    </w:p>
    <w:p w14:paraId="0263FB7B" w14:textId="01619533" w:rsidR="00581E16" w:rsidRPr="000B2523" w:rsidRDefault="00D754F4" w:rsidP="00BF5F3D">
      <w:pPr>
        <w:pStyle w:val="1"/>
        <w:keepNext/>
        <w:keepLines/>
        <w:rPr>
          <w:b/>
          <w:bCs/>
        </w:rPr>
      </w:pPr>
      <w:r w:rsidRPr="000B2523">
        <w:rPr>
          <w:b/>
        </w:rPr>
        <w:t>Προκλήσεις που σχετίζονται με την ανθεκτικότητα</w:t>
      </w:r>
    </w:p>
    <w:p w14:paraId="78ED4BFD" w14:textId="77777777" w:rsidR="00083786" w:rsidRPr="000B2523" w:rsidRDefault="00083786" w:rsidP="00BF5F3D">
      <w:pPr>
        <w:keepNext/>
        <w:keepLines/>
        <w:ind w:left="709"/>
        <w:rPr>
          <w:lang w:eastAsia="el-GR"/>
        </w:rPr>
      </w:pPr>
    </w:p>
    <w:p w14:paraId="72A7C8C8" w14:textId="4139881A" w:rsidR="00D754F4" w:rsidRPr="000B2523" w:rsidRDefault="00581E16" w:rsidP="00BF5F3D">
      <w:pPr>
        <w:pStyle w:val="2"/>
        <w:ind w:left="567" w:hanging="578"/>
      </w:pPr>
      <w:r w:rsidRPr="000B2523">
        <w:t>Τα ευρωπαϊκά νησιά που εκτείνονται από τη Βαλτική έως τη Μεσόγειο και από τον Ατλαντικό Ωκεανό έως τις εξόχως απόκεντρες περιοχές της ΕΕ βρίσκονται στην πρώτη γραμμή των περιβαλλοντικών και κοινωνικοοικονομικών αλλαγών. Παρότι εξακολουθούν να αντιμετωπίζουν διαρθρωτικούς περιορισμούς που αναγνωρίζονται στις Συνθήκες, έχουν επίσης στρατηγικά πλεονεκτήματα αυξανόμενης σημασίας για τα θεματολόγια της ΕΕ όσον αφορά το κλίμα, την ενέργεια και τη διακυβέρνηση των ωκεανών, τα οποία τους επιτρέπουν να δώσουν λύσεις για την τρέχουσα και μελλοντική ανάπτυξη και ανθεκτικότητα.</w:t>
      </w:r>
    </w:p>
    <w:p w14:paraId="47EC8960" w14:textId="77777777" w:rsidR="00D754F4" w:rsidRPr="000B2523" w:rsidRDefault="00D754F4" w:rsidP="00BF5F3D">
      <w:pPr>
        <w:ind w:left="709"/>
        <w:rPr>
          <w:lang w:eastAsia="el-GR"/>
        </w:rPr>
      </w:pPr>
    </w:p>
    <w:p w14:paraId="22585D29" w14:textId="15378064" w:rsidR="00702373" w:rsidRPr="000B2523" w:rsidRDefault="00EA65AF" w:rsidP="00BF5F3D">
      <w:pPr>
        <w:pStyle w:val="2"/>
        <w:ind w:left="567" w:hanging="578"/>
      </w:pPr>
      <w:r w:rsidRPr="000B2523">
        <w:t xml:space="preserve">Η ΕΟΚΕ πιστεύει ότι η ανθεκτικότητα των νησιών βασίζεται στην ετοιμότητα, την προσαρμοστικότητα και τη ικανότητα μετασχηματισμού τους έναντι ενός σύνθετου πλέγματος αλληλένδετων παραγόντων. Οι επίμονες ευπάθειες στον τομέα της ενέργειας, η περιορισμένη κινητικότητα και συνδεσιμότητα, οι ελλείψεις εργατικού δυναμικού, οι στεγαστικές πιέσεις και η περιορισμένη πρόσβαση στην υγειονομική περίθαλψη και την εκπαίδευση επιβαρύνουν όλες τις νησιωτικές κοινότητες. Οι δημογραφικές προκλήσεις, συμπεριλαμβανομένης της γήρανσης του πληθυσμού και της μετανάστευσης των νέων, επιτείνουν αυτές τις πιέσεις. Ταυτόχρονα, πολλά νησιά δυσκολεύονται να αξιοποιήσουν πλήρως το δυναμικό της γαλάζιας οικονομίας τους — κάτι που αποτελεί τόσο κρίσιμη πρόκληση όσο και μοναδική ευκαιρία για την προώθηση της βιώσιμης ανάπτυξης, τη βελτίωση της κοινωνικής συνοχής και την ενίσχυση της μακροπρόθεσμης ανθεκτικότητας. </w:t>
      </w:r>
    </w:p>
    <w:p w14:paraId="6942E10F" w14:textId="77777777" w:rsidR="00EA65AF" w:rsidRPr="000B2523" w:rsidRDefault="00EA65AF" w:rsidP="000B2523">
      <w:pPr>
        <w:rPr>
          <w:lang w:eastAsia="el-GR"/>
        </w:rPr>
      </w:pPr>
    </w:p>
    <w:p w14:paraId="47178F44" w14:textId="75AB4402" w:rsidR="00581E16" w:rsidRPr="000B2523" w:rsidRDefault="00D754F4" w:rsidP="00BF5F3D">
      <w:pPr>
        <w:pStyle w:val="2"/>
        <w:ind w:left="567" w:hanging="578"/>
      </w:pPr>
      <w:r w:rsidRPr="000B2523">
        <w:t>Ειδικότερα, τα σχετικά αδιατάρακτα χερσαία και θαλάσσια οικοσυστήματά τους, τα οποία έχουν συχνά αποφύγει τις επιπτώσεις της εντατικής εκβιομηχάνισης και άλλες σωρευτικές επιπτώσεις, καθιστούν τα νησιά καίριους ταμιευτήρες της ευρωπαϊκής βιοποικιλότητας. Σε συνδυασμό με τα θαλάσσια ύδατά τους [εκτεταμένες ΑΟΖ σύμφωνα με τη Σύμβαση των Ηνωμένων Εθνών για το Δίκαιο της Θάλασσας (UNCLOS)], οι νησιωτικές περιοχές συμβάλλουν ουσιωδώς στην αλιεία, στις ανανεώσιμες πηγές ενέργειας, στη θαλάσσια έρευνα και στην πρόσβαση σε αναδυόμενους πόρους, όπως οι υδρογονάνθρακες ή οι πολυμεταλλικοί κόνδυλοι. Τα χαρακτηριστικά αυτά ενισχύουν την εξέχουσα σημασία των νησιών για τη γαλάζια οικονομία, την Πράσινη Συμφωνία και τη μακροπρόθεσμη στρατηγική αυτονομία της ΕΕ. Ωστόσο, η κλιματική αλλαγή, η απώλεια βιοποικιλότητας και οι πιέσεις λόγω της οικονομικής εκμετάλλευσης και του υπερβολικού τουρισμού απειλούν ολοένα και περισσότερο τα εν λόγω οικοσυστήματα.</w:t>
      </w:r>
    </w:p>
    <w:p w14:paraId="2E100FB5" w14:textId="3C3A1529" w:rsidR="00D754F4" w:rsidRPr="000B2523" w:rsidRDefault="00D754F4" w:rsidP="000B2523">
      <w:pPr>
        <w:rPr>
          <w:lang w:eastAsia="el-GR"/>
        </w:rPr>
      </w:pPr>
    </w:p>
    <w:p w14:paraId="541DADA3" w14:textId="75A3C41B" w:rsidR="00D754F4" w:rsidRPr="000B2523" w:rsidRDefault="00D754F4" w:rsidP="00BF5F3D">
      <w:pPr>
        <w:pStyle w:val="2"/>
        <w:ind w:left="567" w:hanging="578"/>
      </w:pPr>
      <w:r w:rsidRPr="000B2523">
        <w:lastRenderedPageBreak/>
        <w:t>Ως εκ τούτου, η στοχευμένη επιστημονική παρακολούθηση και οι στρατηγικές επενδύσεις είναι ουσιαστικής σημασίας για την κατανόηση της πολυδιάστατης δυναμικής της ανθεκτικότητας των νησιών. Οι προσπάθειες αυτές είναι ζωτικής σημασίας για την επιτάχυνση της χρήσης τεχνολογιών ανανεώσιμων πηγών ενέργειας ―συμπεριλαμβανομένης της αιολικής, της ηλιακής και της παλιρροϊκής ενέργειας― με παράλληλη ενίσχυση των βιώσιμων συστημάτων διαχείρισης των υδάτων και των αποβλήτων. Τα αποτελέσματα της 3ης Διάσκεψης του ΟΗΕ για τους Ωκεανούς, που πραγματοποιήθηκε στη Νίκαια τον Ιούνιο του 2025, ανέδειξαν όχι μόνο τα επίμονα τρωτά σημεία των νησιωτικών περιοχών, αλλά και την αυξανόμενη στρατηγική σημασία τους στο πλαίσιο της παγκόσμιας διακυβέρνησης των ωκεανών. Τα πορίσματα αυτά υπογραμμίζουν την ανάγκη για ολοκληρωμένες πολιτικές, βασισμένες σε επιστημονικά στοιχεία, οι οποίες θα ενισχύουν τόσο την περιβαλλοντική βιωσιμότητα όσο και την κοινωνικοοικονομική ανθεκτικότητα των νησιών.</w:t>
      </w:r>
    </w:p>
    <w:p w14:paraId="70D5B797" w14:textId="77777777" w:rsidR="00D754F4" w:rsidRPr="000B2523" w:rsidRDefault="00D754F4" w:rsidP="00BF5F3D">
      <w:pPr>
        <w:ind w:left="709"/>
        <w:rPr>
          <w:lang w:eastAsia="el-GR"/>
        </w:rPr>
      </w:pPr>
    </w:p>
    <w:p w14:paraId="6FC144ED" w14:textId="24240EDA" w:rsidR="00581E16" w:rsidRPr="000B2523" w:rsidRDefault="00581E16" w:rsidP="00BF5F3D">
      <w:pPr>
        <w:pStyle w:val="2"/>
        <w:ind w:left="567" w:hanging="578"/>
      </w:pPr>
      <w:r w:rsidRPr="000B2523">
        <w:t>Σε ολόκληρη την Ευρώπη, οι νησιωτικές περιοχές αναπτύσσουν ένα φάσμα καινοτομιών διακυβέρνησης που συνάδουν με τις προτεραιότητες της ΕΕ. Το 2025 η Αμοργός καθιέρωσε το «</w:t>
      </w:r>
      <w:r w:rsidRPr="000B2523">
        <w:rPr>
          <w:b/>
        </w:rPr>
        <w:t>Αμοργόραμα</w:t>
      </w:r>
      <w:r w:rsidRPr="000B2523">
        <w:t xml:space="preserve">», ένα μοντέλο βιώσιμης αλιείας με πρωτοβουλία των τοπικών κοινοτήτων και επιστημονική υποστήριξη, το οποίο συνδυάζει εποχιακές απαγορεύσεις αλιείας, καθαρισμό των παραλιών, χρήση επιλεκτικών αλιευτικών εργαλείων και επισήμως καθορισμένες θαλάσσιες ζώνες απαγόρευσης της αλιείας, πρωτοστατώντας αποτελεσματικά σε ένα πλαίσιο διατήρησης και διαχείρισης των θαλάσσιων πόρων «από τη βάση προς την κορυφή» στην Ελλάδα. Η Κορσική προνοεί για τις παγκόσμιες αλλαγές με την </w:t>
      </w:r>
      <w:r w:rsidRPr="000B2523">
        <w:rPr>
          <w:b/>
        </w:rPr>
        <w:t>Corsica Pruspettiva (CP50)</w:t>
      </w:r>
      <w:r w:rsidRPr="000B2523">
        <w:t xml:space="preserve">, η οποία εγκαινιάστηκε το 2022, ένα συμμετοχικό εργαλείο που κινητοποιεί αιρετούς άρχοντες, εμπειρογνώμονες και πολίτες με σκοπό τη διερεύνηση των επιπτώσεων του κλίματος, της τεχνολογίας και της γεωπολιτικής έως το 2050, βάσει της επιστήμης, του δημόσιου διαλόγου και των διεθνών εταιρικών σχέσεων. </w:t>
      </w:r>
    </w:p>
    <w:p w14:paraId="2D56607A" w14:textId="77777777" w:rsidR="00083786" w:rsidRPr="000B2523" w:rsidRDefault="00083786" w:rsidP="00BF5F3D">
      <w:pPr>
        <w:ind w:left="709"/>
        <w:rPr>
          <w:lang w:eastAsia="el-GR"/>
        </w:rPr>
      </w:pPr>
    </w:p>
    <w:p w14:paraId="647E1D40" w14:textId="3C2653DB" w:rsidR="00581E16" w:rsidRPr="000B2523" w:rsidRDefault="00581E16" w:rsidP="00BF5F3D">
      <w:pPr>
        <w:pStyle w:val="2"/>
        <w:ind w:left="567" w:hanging="578"/>
      </w:pPr>
      <w:r w:rsidRPr="000B2523">
        <w:t xml:space="preserve">Οι εν λόγω πρωτοβουλίες καταδεικνύουν τον τρόπο με τον οποίο τα νησιά μπορούν να λειτουργήσουν ως </w:t>
      </w:r>
      <w:r w:rsidRPr="000B2523">
        <w:rPr>
          <w:b/>
        </w:rPr>
        <w:t>στρατηγικά εργαστήρια για την ΕΕ</w:t>
      </w:r>
      <w:r w:rsidRPr="000B2523">
        <w:t>, προωθώντας την ολοκληρωμένη εδαφική ανάπτυξη, την προσαρμογή στην κλιματική αλλαγή και τη χάραξη τεκμηριωμένης πολιτικής. Κατά συνέπεια, η ενισχυμένη στήριξη της ικανότητας ανάλυσης προοπτικών, καινοτομίας και διακυβέρνησης των νησιών είναι κεφαλαιώδης για την υλοποίηση των δεσμεύσεων της ΕΕ δυνάμει της Πράσινης Συμφωνίας, της στρατηγικής της ΕΕ για τη βιοποικιλότητα και του πλαισίου της βιώσιμης γαλάζιας οικονομίας.</w:t>
      </w:r>
    </w:p>
    <w:p w14:paraId="256BC2AA" w14:textId="77777777" w:rsidR="00083786" w:rsidRPr="000B2523" w:rsidRDefault="00083786" w:rsidP="00BF5F3D">
      <w:pPr>
        <w:ind w:left="709"/>
        <w:rPr>
          <w:lang w:eastAsia="el-GR"/>
        </w:rPr>
      </w:pPr>
    </w:p>
    <w:p w14:paraId="0CA16182" w14:textId="67B12AE9" w:rsidR="00581E16" w:rsidRPr="000B2523" w:rsidRDefault="00824E10" w:rsidP="00BF5F3D">
      <w:pPr>
        <w:pStyle w:val="1"/>
        <w:keepNext/>
        <w:rPr>
          <w:b/>
          <w:bCs/>
        </w:rPr>
      </w:pPr>
      <w:r w:rsidRPr="000B2523">
        <w:rPr>
          <w:b/>
        </w:rPr>
        <w:t>Υφιστάμενες γεωπολιτικές προκλήσεις</w:t>
      </w:r>
    </w:p>
    <w:p w14:paraId="54292FEB" w14:textId="77777777" w:rsidR="00083786" w:rsidRPr="000B2523" w:rsidRDefault="00083786" w:rsidP="00BF5F3D">
      <w:pPr>
        <w:keepNext/>
        <w:ind w:left="709"/>
        <w:rPr>
          <w:lang w:eastAsia="el-GR"/>
        </w:rPr>
      </w:pPr>
    </w:p>
    <w:p w14:paraId="79881300" w14:textId="4B203D03" w:rsidR="001B5D76" w:rsidRPr="000B2523" w:rsidRDefault="001B5D76" w:rsidP="00BF5F3D">
      <w:pPr>
        <w:pStyle w:val="2"/>
        <w:ind w:left="567" w:hanging="578"/>
      </w:pPr>
      <w:r w:rsidRPr="000B2523">
        <w:t xml:space="preserve">Τα ευρωπαϊκά νησιά αντιμετωπίζουν ένα σύνθετο φάσμα γεωπολιτικών προκλήσεων που απορρέουν από τη στρατηγική τους θέση, τους περιορισμένους πόρους τους και τον συχνά περιφερειακό, αλλά πρωταρχικό, ρόλο τους τόσο για τα εθνικά τους κράτη όσο και για την Ευρωπαϊκή Ένωση. Πολλά νησιά γειτνιάζουν με ευαίσθητα θαλάσσια σύνορα, μείζονες μεταναστευτικές οδούς ή ζώνες αμφισβητούμενης δικαιοδοσίας ―όπως η Κρήτη ή τα Δωδεκάνησα― με αποτέλεσμα να βρίσκονται στο σημείο τομής της ασφάλειας, της άμυνας και της διεθνούς διπλωματίας. Αυτή η αυξημένη γεωπολιτική σημασία εκθέτει τις νησιωτικές περιοχές σε πιέσεις γειτονικών κρατών, σε περιφερειακές διαφορές και σε ευρύτερες εξελίξεις ως προς την ασφάλεια της ΕΕ. Κατά συνέπεια, η τοπική διακυβέρνηση διαμορφώνεται συχνά από τις εθνικές επιταγές σχετικά με την εξωτερική πολιτική, ενώ οι ίδιες οι νησιωτικές </w:t>
      </w:r>
      <w:r w:rsidRPr="000B2523">
        <w:lastRenderedPageBreak/>
        <w:t>κοινότητες φέρουν δυσανάλογη ευθύνη για τη διαχείριση της ασφάλειας των συνόρων, της θαλάσσιας επιτήρησης και των ανθρωπιστικών προκλήσεων που απορρέουν από την αστάθεια στις γύρω περιοχές.</w:t>
      </w:r>
    </w:p>
    <w:p w14:paraId="2ED1727C" w14:textId="77777777" w:rsidR="00083786" w:rsidRPr="000B2523" w:rsidRDefault="00083786" w:rsidP="00BF5F3D">
      <w:pPr>
        <w:ind w:left="709"/>
      </w:pPr>
    </w:p>
    <w:p w14:paraId="082ADBC2" w14:textId="79EDD123" w:rsidR="00494793" w:rsidRPr="000B2523" w:rsidRDefault="00AD3105" w:rsidP="00BF5F3D">
      <w:pPr>
        <w:pStyle w:val="2"/>
        <w:ind w:left="567" w:hanging="578"/>
      </w:pPr>
      <w:r w:rsidRPr="000B2523">
        <w:t>Τα ευρωπαϊκά νησιά αντιμετωπίζουν συγκεκριμένες γεωπολιτικές προκλήσεις που αναδεικνύουν τη στρατηγική, οικονομική και περιβαλλοντική σημασία τους. Στην περίπτωση της Κύπρου, η διχοτόμησή της σε ελληνοκυπριακό Νότο και τουρκοκρατούμενο Βορρά, σε συνδυασμό με τις αμφισβητούμενες θαλάσσιες ζώνες της Ανατολικής Μεσογείου, την καθιστούν κομβικό σημείο περιφερειακών διαφορών σχετικά με τους ενεργειακούς πόρους, την κυριαρχία και τις σχέσεις ΕΕ-Τουρκίας. Η Κρήτη γειτνιάζει με καίριους θαλάσσιους και ενεργειακούς διαδρόμους και είναι εξαιρετικά εκτεθειμένη σε μεταναστευτικές ροές, σε περιφερειακές εντάσεις στην Ανατολική Μεσόγειο και σε διαφορές σχετικά με ΑΟΖ με γειτονικές χώρες (π.χ. με τη Λιβύη). Η δε Σαρδηνία αντιμετωπίζει προκλήσεις όσον αφορά τις στρατιωτικές εγκαταστάσεις, την περιορισμένη οικονομική διαφοροποίηση και τους περιβαλλοντικούς κινδύνους, ενώ παράλληλα λειτουργεί ως κόμβος για την ασφάλεια στη Μεσόγειο Θάλασσα και την παρακολούθηση των μεταναστευτικών οδών. Η σουηδική νήσος Γκότλαντ, η οποία βρίσκεται στη Βαλτική Θάλασσα, έχει στρατηγική σημασία για τον αμυντικό σχεδιασμό του ΝΑΤΟ και της Σουηδίας, ιδίως στο πλαίσιο των στρατιωτικών δραστηριοτήτων της Ρωσίας και της δυναμικής της περιφερειακής ασφάλειας. Επιπλέον, η θέση της Μάλτας στο κέντρο της Μεσογείου την καθιστά κράτος πρώτης γραμμής όσον αφορά την ΕΕ για τη διαχείριση της μετανάστευσης, την ασφάλεια στη θάλασσα και την εξισορρόπηση των σχέσεων με τις γειτονικές χώρες της Βόρειας Αφρικής και της Νότιας Ευρώπης.</w:t>
      </w:r>
    </w:p>
    <w:p w14:paraId="3D046562" w14:textId="77777777" w:rsidR="00083786" w:rsidRPr="000B2523" w:rsidRDefault="00083786" w:rsidP="00BF5F3D">
      <w:pPr>
        <w:ind w:left="709"/>
        <w:rPr>
          <w:lang w:eastAsia="el-GR"/>
        </w:rPr>
      </w:pPr>
    </w:p>
    <w:p w14:paraId="7F9C841E" w14:textId="78A57C17" w:rsidR="00A652BD" w:rsidRPr="000B2523" w:rsidRDefault="00A652BD" w:rsidP="00BF5F3D">
      <w:pPr>
        <w:pStyle w:val="2"/>
        <w:ind w:left="567" w:hanging="578"/>
      </w:pPr>
      <w:r w:rsidRPr="000B2523">
        <w:t>Μια άλλη σημαντική πρόκληση απορρέει από τις οικονομικές και τις ενεργειακές εξαρτήσεις. Τα νησιά βασίζονται συχνά σε εισαγωγές ενέργειας, τροφίμων και άλλων βασικών αγαθών, με αποτέλεσμα να καθίστανται ευάλωτα σε διαταραχές της αλυσίδας εφοδιασμού ή σε γεωπολιτικές εντάσεις που επηρεάζουν τις εμπορικές και τις ενεργειακές οδούς. Η αύξηση του ενεργειακού κόστους, ο ανταγωνισμός για τους θαλάσσιους πόρους και η στρατηγική σημασία των έργων ανανεώσιμων πηγών ενέργειας ―όπως η υπεράκτια αιολική ενέργεια ή οι προστατευόμενες θαλάσσιες περιοχές― περιπλέκουν ακόμη περισσότερο τη θέση τους απαιτώντας προσεκτική ισορροπία μεταξύ των προτεραιοτήτων τοπικής ανάπτυξης και των ευρύτερων γεωπολιτικών συμφερόντων.</w:t>
      </w:r>
    </w:p>
    <w:p w14:paraId="7F96750A" w14:textId="77777777" w:rsidR="00083786" w:rsidRPr="000B2523" w:rsidRDefault="00083786" w:rsidP="00BF5F3D">
      <w:pPr>
        <w:ind w:left="709"/>
        <w:rPr>
          <w:lang w:eastAsia="el-GR"/>
        </w:rPr>
      </w:pPr>
    </w:p>
    <w:p w14:paraId="328568E9" w14:textId="13FA17F7" w:rsidR="00A652BD" w:rsidRPr="000B2523" w:rsidRDefault="00A652BD" w:rsidP="00BF5F3D">
      <w:pPr>
        <w:pStyle w:val="2"/>
        <w:ind w:left="567" w:hanging="578"/>
      </w:pPr>
      <w:r w:rsidRPr="000B2523">
        <w:t>Η κλιματική αλλαγή και οι περιβαλλοντικές πιέσεις προσθέτουν έναν ακόμη βαθμό γεωπολιτικού κινδύνου. Η άνοδος της στάθμης της θάλασσας, τα ακραία καιρικά φαινόμενα και η υποβάθμιση των θαλάσσιων οικοσυστημάτων επηρεάζουν δυσανάλογα τα νησιά και ενδέχεται να προκαλέσουν εκτοπισμούς πληθυσμών, αυξημένες μεταναστευτικές πιέσεις και διαφορές σχετικά με τις θαλάσσιες ζώνες. Αυτές οι περιβαλλοντικές αλλαγές αλληλεπιδρούν με τις υφιστάμενες πολιτικές εντάσεις διότι τα νησιά μπορεί να χρειαστεί να υπερασπιστούν τα χωρικά τους ύδατα, να διαπραγματευτούν δικαιώματα σχετικά με τους πόρους ή να προσαρμόσουν τις υποδομές τους με περιορισμένη εθνική ή ενωσιακή στήριξη. Συνεπώς, τα ευρωπαϊκά νησιά δραστηριοποιούνται στο σημείο τομής των γεωπολιτικών παραμέτρων της ασφάλειας, της οικονομίας και του περιβάλλοντος, αντιμετωπίζουν δε προκλήσεις που απαιτούν συντονισμένες τοπικές/περιφερειακές, εθνικές και ευρωπαϊκές αποκρίσεις.</w:t>
      </w:r>
    </w:p>
    <w:p w14:paraId="7C7629E1" w14:textId="77777777" w:rsidR="00083786" w:rsidRPr="000B2523" w:rsidRDefault="00083786" w:rsidP="00BF5F3D">
      <w:pPr>
        <w:ind w:left="709"/>
        <w:rPr>
          <w:lang w:eastAsia="el-GR"/>
        </w:rPr>
      </w:pPr>
    </w:p>
    <w:p w14:paraId="77FFAFF6" w14:textId="4770ABC1" w:rsidR="00EF6B2D" w:rsidRPr="000B2523" w:rsidRDefault="00EF6B2D" w:rsidP="00BF5F3D">
      <w:pPr>
        <w:pStyle w:val="1"/>
        <w:keepNext/>
        <w:keepLines/>
        <w:rPr>
          <w:b/>
          <w:bCs/>
        </w:rPr>
      </w:pPr>
      <w:r w:rsidRPr="000B2523">
        <w:rPr>
          <w:b/>
        </w:rPr>
        <w:lastRenderedPageBreak/>
        <w:t>Ένα δυναμικό πλαίσιο πολιτικής, σε αναζήτηση συνεπούς εφαρμογής</w:t>
      </w:r>
    </w:p>
    <w:p w14:paraId="4B1A92C0" w14:textId="77777777" w:rsidR="00083786" w:rsidRPr="000B2523" w:rsidRDefault="00083786" w:rsidP="00BF5F3D">
      <w:pPr>
        <w:keepNext/>
        <w:keepLines/>
        <w:ind w:left="709"/>
        <w:rPr>
          <w:lang w:eastAsia="el-GR"/>
        </w:rPr>
      </w:pPr>
    </w:p>
    <w:p w14:paraId="3EC63954" w14:textId="282D196B" w:rsidR="00B53499" w:rsidRPr="000B2523" w:rsidRDefault="009B1F4F" w:rsidP="00BF5F3D">
      <w:pPr>
        <w:pStyle w:val="2"/>
        <w:ind w:left="567" w:hanging="578"/>
      </w:pPr>
      <w:r w:rsidRPr="000B2523">
        <w:t>Εδώ και σχεδόν τρεις δεκαετίες, τα θεσμικά όργανα της ΕΕ, οι περιφερειακοί φορείς και τα νησιωτικά δίκτυα (συμπεριλαμβανομένων των δικτύων και των ενώσεων μικρών νησιών) ζητούν διαφοροποιημένη μεταχείριση των ευρωπαϊκών νησιών, αίτημα που ενισχύεται από πρωτοβουλίες όπως η διακήρυξη των νήσων από την Επιτροπή Νήσων της Διάσκεψης των Παράκτιων Περιφερειών της Ευρώπης (ΔΠΠΕ) του 2023 και το ψήφισμα του Ευρωπαϊκού Κοινοβουλίου του 2022 σχετικά με τα νησιά και την πολιτική συνοχής. Παρότι αυτή η αυξανόμενη πολιτική δυναμική είναι σημαντική, πρέπει να συνοδεύεται από απτή κανονιστική εφαρμογή. Το δίκαιο της ΕΕ έχει αναγνωρίσει εδώ και καιρό τα διαρθρωτικά μειονεκτήματα των νησιών, από τις Συνθήκες του Μάαστριχτ και του Άμστερνταμ έως το άρθρο 174 της ΣΛΕΕ, το οποίο απαιτεί ρητά από την Ένωση να προωθεί την οικονομική, κοινωνική και εδαφική συνοχή, και να δίνει ιδιαίτερη προσοχή στα νησιά ως περιοχές που αντιμετωπίζουν μόνιμους διαρθρωτικούς περιορισμούς.</w:t>
      </w:r>
    </w:p>
    <w:p w14:paraId="73FD7BC1" w14:textId="2C3885EA" w:rsidR="009B1F4F" w:rsidRPr="000B2523" w:rsidRDefault="009B1F4F" w:rsidP="000B2523"/>
    <w:p w14:paraId="5F95C332" w14:textId="231FB0FC" w:rsidR="009B1F4F" w:rsidRPr="000B2523" w:rsidRDefault="00095788" w:rsidP="00BF5F3D">
      <w:pPr>
        <w:pStyle w:val="2"/>
        <w:ind w:left="567" w:hanging="578"/>
      </w:pPr>
      <w:r w:rsidRPr="000B2523">
        <w:t>Το προαναφερθέν άρθρο αποτελεί τη νομική βάση για πολιτικές της ΕΕ που επιδεικνύουν ευαισθησία απέναντι στις νησιωτικές περιοχές και μπορεί να χρησιμοποιηθεί ως θεμέλιος λίθος για την ανάπτυξη επιχειρημάτων όσον αφορά τη χρηματοδότηση, την πολιτική συνοχής, τον σχεδιασμό στρατηγικών έξυπνης εξειδίκευσης (S3/S4), τις στρατηγικές της γαλάζιας οικονομίας και τα ζητήματα θαλάσσιου χωροταξικού σχεδιασμού στις νησιωτικές περιοχές.</w:t>
      </w:r>
    </w:p>
    <w:p w14:paraId="2F50A57F" w14:textId="77777777" w:rsidR="009B1F4F" w:rsidRPr="000B2523" w:rsidRDefault="009B1F4F" w:rsidP="000B2523"/>
    <w:p w14:paraId="66536017" w14:textId="06DD53BB" w:rsidR="00083786" w:rsidRPr="000B2523" w:rsidRDefault="00EF6B2D" w:rsidP="00BF5F3D">
      <w:pPr>
        <w:pStyle w:val="2"/>
        <w:ind w:left="567" w:hanging="578"/>
      </w:pPr>
      <w:r w:rsidRPr="000B2523">
        <w:t>Ωστόσο, η αναγνώριση αυτή παραμένει εν πολλοίς σε επίπεδο προθέσεων, χωρίς να μετουσιώνεται σε απτές ενέργειες για την αντιμετώπιση όλων των προκλήσεων που προαναφέρθηκαν. Η ΕΟΚΕ εκτιμά ότι είναι πλέον καιρός η Ευρωπαϊκή Ένωση να μετατρέψει τις εν λόγω αρχές σε αποτελεσματικές δημόσιες πολιτικές και να συμπεριλάβει πλήρως το σύνολο των ευρωπαϊκών νησιών ως βασικό αντικείμενο της δράσης της. Προς τούτο απαιτείται η δρομολόγηση μιας κατάλληλης νομοθετικής πρωτοβουλίας (</w:t>
      </w:r>
      <w:r w:rsidRPr="000B2523">
        <w:rPr>
          <w:b/>
        </w:rPr>
        <w:t>πράξη για τα νησιά</w:t>
      </w:r>
      <w:r w:rsidRPr="000B2523">
        <w:t>) που θα περιλαμβάνει μια εγκάρσια και εκτελεστή συνιστώσα για τα νησιά στα μέσα των πολιτικών σχετικά με τη συνοχή, τις μεταφορές, τον ανταγωνισμό, την έρευνα και την ανταγωνιστικότητα, ήτοι εν ολίγοις, σε όλες τις πολιτικές της ΕΕ με εδαφικό προσανατολισμό. Αξίζει επίσης να αναφερθεί εδώ η ιδέα περί ενσωμάτωσης στην πράξη για τα νησιά μιας «ρήτρας νησιωτικού χαρακτήρα» με σημαντικό προβλεπόμενο αντίκτυπο στα νησιά (μεταφορές, ενέργεια, συνοχή κ.λπ.). Μια τέτοια ρήτρα θα μπορούσε να προβλέπει την υποχρέωση διαβούλευσης με τις αρμόδιες νησιωτικές αρχές ως βασικό βήμα στη διαδικασία χάραξης πολιτικής.</w:t>
      </w:r>
    </w:p>
    <w:p w14:paraId="655E3521" w14:textId="77777777" w:rsidR="00083786" w:rsidRPr="000B2523" w:rsidRDefault="00083786" w:rsidP="00BF5F3D">
      <w:pPr>
        <w:ind w:left="709"/>
        <w:rPr>
          <w:lang w:eastAsia="en-GB"/>
        </w:rPr>
      </w:pPr>
    </w:p>
    <w:p w14:paraId="20F84DA1" w14:textId="45F892DA" w:rsidR="00BB0D06" w:rsidRPr="000B2523" w:rsidRDefault="00A70124" w:rsidP="00BF5F3D">
      <w:pPr>
        <w:pStyle w:val="2"/>
        <w:ind w:left="567" w:hanging="578"/>
      </w:pPr>
      <w:r w:rsidRPr="000B2523">
        <w:t xml:space="preserve">Παρά τη Λευκή Βίβλο του 2001 για την ευρωπαϊκή διακυβέρνηση, με την οποία θεσπίζονται σαφείς αρχές ―ανοικτός χαρακτήρας, λογοδοσία, αποτελεσματικότητα και συνοχή― σε όλα τα επίπεδα διακυβέρνησης, οι νησιωτικές περιοχές εξακολουθούν να δυσκολεύονται να αποκτήσουν πρόσβαση στους μηχανισμούς και τη χρηματοδότηση της ΕΕ. Εν προκειμένω, παρατηρείται ένα εντυπωσιακό παράδοξο: τα νησιά περιλαμβάνονται μεταξύ των πλέον εκτεθειμένων στις σημερινές προκλήσεις και ευπάθειες περιοχών, αλλά και των λιγότερο καλά προετοιμασμένων για την αντιμετώπισή τους. Για τη διευθέτηση αυτής της κατάστασης, απαιτείται η ενίσχυση της αναλογικότητας και της επικουρικότητας κατά την εφαρμογή, με </w:t>
      </w:r>
      <w:r w:rsidRPr="000B2523">
        <w:lastRenderedPageBreak/>
        <w:t xml:space="preserve">μέλημα τα επίπεδα και τα μέσα που επιλέγονται για την ανάληψη δράσης να ανταποκρίνονται πραγματικά στις ανάγκες </w:t>
      </w:r>
      <w:r w:rsidRPr="000B2523">
        <w:rPr>
          <w:b/>
        </w:rPr>
        <w:t>ειδικών περιοχών</w:t>
      </w:r>
      <w:r w:rsidR="00001205" w:rsidRPr="000B2523">
        <w:rPr>
          <w:rStyle w:val="a6"/>
        </w:rPr>
        <w:footnoteReference w:id="4"/>
      </w:r>
      <w:r w:rsidRPr="000B2523">
        <w:t>, συμπεριλαμβανομένων των νησιωτικών.</w:t>
      </w:r>
    </w:p>
    <w:p w14:paraId="6539D801" w14:textId="77777777" w:rsidR="00BB0D06" w:rsidRPr="000B2523" w:rsidRDefault="00BB0D06" w:rsidP="00BF5F3D">
      <w:pPr>
        <w:ind w:left="709"/>
      </w:pPr>
    </w:p>
    <w:p w14:paraId="22F5E45D" w14:textId="1821438A" w:rsidR="00BB0D06" w:rsidRPr="000B2523" w:rsidRDefault="00BB0D06" w:rsidP="00BF5F3D">
      <w:pPr>
        <w:pStyle w:val="2"/>
        <w:ind w:left="567" w:hanging="578"/>
      </w:pPr>
      <w:r w:rsidRPr="000B2523">
        <w:t>Η ΕΟΚΕ υποστηρίζει την άποψη της Ευρωπαϊκής Ομοσπονδίας Μικρών Νησιών ότι οι εκπρόσωποι των νησιών πρέπει να συμμετέχουν εγκαίρως και ουσιαστικά στον προγραμματισμό και τον σχεδιασμό της στρατηγικής για τα νησιά, έτσι ώστε να διασφαλίζεται ότι οι μικρές νησιωτικές κοινότητες θα μπορούν να διατυπώνουν πραγματικά τις απόψεις τους στο πλαίσιο αποφάσεων που τις επηρεάζουν, και παράλληλα να εξασφαλίζεται δίκαιη και προσβάσιμη ενωσιακή χρηματοδότηση στο επόμενο πολυετές δημοσιονομικό πλαίσιο (ΠΔΠ 2028-2034), ώστε ακόμη και τα μικρότερα νησιά να μπορούν να συμμετέχουν σε έργα που στηρίζουν την καινοτομία, τη βιωσιμότητα και την τοπική ανάπτυξη.</w:t>
      </w:r>
    </w:p>
    <w:p w14:paraId="1C8024B8" w14:textId="77777777" w:rsidR="00083786" w:rsidRPr="000B2523" w:rsidRDefault="00083786" w:rsidP="00BF5F3D">
      <w:pPr>
        <w:ind w:left="709"/>
        <w:rPr>
          <w:lang w:eastAsia="en-GB"/>
        </w:rPr>
      </w:pPr>
    </w:p>
    <w:p w14:paraId="61386725" w14:textId="147D4B5E" w:rsidR="003B5121" w:rsidRPr="000B2523" w:rsidRDefault="003B5121" w:rsidP="00BF5F3D">
      <w:pPr>
        <w:pStyle w:val="1"/>
        <w:keepNext/>
        <w:rPr>
          <w:b/>
          <w:bCs/>
        </w:rPr>
      </w:pPr>
      <w:r w:rsidRPr="000B2523">
        <w:rPr>
          <w:b/>
        </w:rPr>
        <w:t>Τα διακυβεύματα μιας μελλοντικής στρατηγικής της ΕΕ για τα νησιά</w:t>
      </w:r>
    </w:p>
    <w:p w14:paraId="23733A10" w14:textId="77777777" w:rsidR="00083786" w:rsidRPr="000B2523" w:rsidRDefault="00083786" w:rsidP="00BF5F3D">
      <w:pPr>
        <w:keepNext/>
        <w:ind w:left="709"/>
      </w:pPr>
    </w:p>
    <w:p w14:paraId="4004DFB3" w14:textId="3C35E99F" w:rsidR="003B5121" w:rsidRPr="000B2523" w:rsidRDefault="003B5121" w:rsidP="00BF5F3D">
      <w:pPr>
        <w:pStyle w:val="2"/>
        <w:ind w:left="567" w:hanging="578"/>
      </w:pPr>
      <w:r w:rsidRPr="000B2523">
        <w:t>Το 2024 στην 9η έκθεση για την οικονομική, κοινωνική και εδαφική συνοχή επιβεβαιώθηκε ότι τα νησιά ―καθώς και οι αγροτικές, ορεινές ή αραιοκατοικημένες περιοχές― καλούνται να αντιμετωπίσουν επίμονες διαρθρωτικές προκλήσεις που παρεμποδίζουν την οικονομική μεγέθυνση και την ανάπτυξή τους. Ένα ολόκληρο τμήμα της έκθεσης αυτής είναι αφιερωμένο στις περιοχές με ειδικά γεωγραφικά χαρακτηριστικά (τις λεγόμενες «ειδικές περιοχές» που προαναφέρθηκαν). Στην έκθεση επισημαίνονται οι γεωγραφικές ιδιαιτερότητες που έχουν σημαντικό αντίκτυπο στην οικονομική δυναμική των εν λόγω περιοχών και απαιτούν διαφοροποιημένη προσέγγιση της πολιτικής συνοχής, ακόμη και όταν τα επίπεδα ανάπτυξης είναι συγκρίσιμα. «</w:t>
      </w:r>
      <w:r w:rsidRPr="000B2523">
        <w:rPr>
          <w:i/>
        </w:rPr>
        <w:t>Τα νησιά, για παράδειγμα, ενδέχεται να επωμίζονται υψηλότερο κόστος μεταφορών, γεγονός που πλήττει την ανταγωνιστικότητα των βιομηχανιών τους (...)».</w:t>
      </w:r>
      <w:r w:rsidRPr="000B2523">
        <w:t xml:space="preserve"> Η συγκριτική ανάλυση που διενήργησε η Ευρωπαϊκή Επιτροπή καθιστά επομένως δυνατή την καλύτερη κατανόηση των διαρθρωτικών παραγόντων στους οποίους οφείλεται η περιφερειακή υπανάπτυξη, καθώς και των συγκεκριμένων αρνητικών επιπτώσεών τους: την αποδημία των νεαρών εργαζομένων, τις εντεινόμενες κοινωνικές ανισότητες και τις αυξανόμενες πολιτικές εντάσεις στις εν λόγω περιοχές. Στη συνέχεια, αιτιολογείται μια διαφοροποιημένη και φιλόδοξη απάντηση, και το συμπέρασμα της έκθεσης είναι το εξής: «</w:t>
      </w:r>
      <w:r w:rsidRPr="000B2523">
        <w:rPr>
          <w:i/>
        </w:rPr>
        <w:t>Ως εκ τούτου, απαιτείται ενδελεχής προβληματισμός σχετικά με το ποιος είναι ο καλύτερος τρόπος για περαιτέρω προσαρμογή της πολιτικής στα διαφορετικά οικονομικά προφίλ και γεωγραφικά χαρακτηριστικά των περιφερειών, ώστε να υπάρξει καλύτερη στόχευση των επενδύσεων</w:t>
      </w:r>
      <w:r w:rsidRPr="000B2523">
        <w:t>.</w:t>
      </w:r>
      <w:r w:rsidRPr="000B2523">
        <w:rPr>
          <w:i/>
        </w:rPr>
        <w:t xml:space="preserve"> Χρειάζεται μεγαλύτερος προβληματισμός για τις πολλαπλές αναπτυξιακές προκλήσεις, τις ανάγκες μεταρρύθμισης και τις διαφορετικές κοινωνικές και εργασιακές συνθήκες, προκειμένου να διευκολυνθεί ο αποτελεσματικός προγραμματισμός των κονδυλίων της ΕΕ στις εξόχως απόκεντρες, τις αραιοκατοικημένες, τις νησιωτικές, τις ορεινές, τις παραμεθόριες και τις αγροτικές περιοχές (...)</w:t>
      </w:r>
      <w:r w:rsidRPr="000B2523">
        <w:t>».</w:t>
      </w:r>
    </w:p>
    <w:p w14:paraId="7B504AF4" w14:textId="77777777" w:rsidR="00083786" w:rsidRPr="000B2523" w:rsidRDefault="00083786" w:rsidP="00BF5F3D">
      <w:pPr>
        <w:ind w:left="709"/>
        <w:rPr>
          <w:lang w:eastAsia="el-GR"/>
        </w:rPr>
      </w:pPr>
    </w:p>
    <w:p w14:paraId="197D3A76" w14:textId="3D77C5F2" w:rsidR="003B5121" w:rsidRPr="000B2523" w:rsidRDefault="0083744F" w:rsidP="00BF5F3D">
      <w:pPr>
        <w:pStyle w:val="2"/>
        <w:ind w:left="567" w:hanging="578"/>
      </w:pPr>
      <w:r w:rsidRPr="000B2523">
        <w:t xml:space="preserve">Η ΕΟΚΕ επικροτεί τις προοπτικές που σκιαγράφησε την 1η Απριλίου ο εκτελεστικός αντιπρόεδρος της Ευρωπαϊκής Επιτροπής Raffaele Fitto στην ανακοίνωση με τίτλο «Εκσυγχρονισμός της πολιτικής για τη συνοχή: H ενδιάμεση επανεξέταση», στην οποία προτείνεται η χάραξη μιας </w:t>
      </w:r>
      <w:r w:rsidRPr="000B2523">
        <w:rPr>
          <w:b/>
        </w:rPr>
        <w:t>στρατηγικής για τα ευρωπαϊκά νησιά</w:t>
      </w:r>
      <w:r w:rsidRPr="000B2523">
        <w:t xml:space="preserve">. Έχει έρθει πια η ώρα να μετουσιωθεί αυτή η δήλωση σε πράξη. Τα νησιά όχι μόνο χρήζουν μεγαλύτερης προσοχής από τα κράτη μέλη, αλλά δικαιούνται επίσης μια νέα προσέγγιση εκ μέρους της Ευρωπαϊκής </w:t>
      </w:r>
      <w:r w:rsidRPr="000B2523">
        <w:lastRenderedPageBreak/>
        <w:t xml:space="preserve">Επιτροπής κατά τον προγραμματισμό των πολιτικών της για την περίοδο μετά το 2027. Η προσέγγιση αυτή θα πρέπει να εναρμονιστεί με το χρονοδιάγραμμα του επόμενου πολυετούς δημοσιονομικού πλαισίου (2028-2034) και της επόμενης πολιτικής συνοχής. Αφότου αναγνωριστούν οι περιορισμοί, οι προκλήσεις και οι ευκαιρίες στο πλαίσιο ενός </w:t>
      </w:r>
      <w:r w:rsidRPr="000B2523">
        <w:rPr>
          <w:b/>
        </w:rPr>
        <w:t>συμφώνου για τα νησιά</w:t>
      </w:r>
      <w:r w:rsidRPr="000B2523">
        <w:t>, ακριβώς όπως συμβαίνει με το αγροτικό σύμφωνο, το αστικό θεματολόγιο και το σύμφωνο για τους ωκεανούς τα οποία διαθέτει η ΕΕ, τα νησιά της ΕΕ θα μπορούσαν να επωφεληθούν από ειδικά μέτρα ευρωπαϊκής πολιτικής βασισμένα στην αρχή της επικουρικότητας, σε μια τοποκεντρική προσέγγιση και σε μια εκ των προτέρων αξιολόγηση του αντικτύπου που θα εφαρμόζεται σε όλες τις σχετικές τομεακές πολιτικές της ΕΕ (μεταφορές, ενέργεια, κρατικές ενισχύσεις κ.λπ.) οι οποίες ενδέχεται να έχουν διαφορετική σημαντική/δυσανάλογη επίδραση στις εν λόγω νησιωτικές περιοχές.</w:t>
      </w:r>
    </w:p>
    <w:p w14:paraId="0A4DE4CA" w14:textId="77777777" w:rsidR="00083786" w:rsidRPr="000B2523" w:rsidRDefault="00083786" w:rsidP="00BF5F3D">
      <w:pPr>
        <w:ind w:left="709"/>
        <w:rPr>
          <w:lang w:eastAsia="el-GR"/>
        </w:rPr>
      </w:pPr>
    </w:p>
    <w:p w14:paraId="5D81FB96" w14:textId="67E99C84" w:rsidR="00A34CB7" w:rsidRPr="000B2523" w:rsidRDefault="00452A52" w:rsidP="00BF5F3D">
      <w:pPr>
        <w:pStyle w:val="2"/>
        <w:ind w:left="567" w:hanging="578"/>
      </w:pPr>
      <w:r w:rsidRPr="000B2523">
        <w:t>Η ΕΟΚΕ πιστεύει ακράδαντα ότι εάν η προοπτική αυτή γίνει αποδεκτή, τότε ζητήματα όπως η ανεπαρκής συνοχή και συνδεσιμότητα, οι περιορισμοί ως προς τις κρατικές ενισχύσεις, η προστασία της βιοποικιλότητας και η πρόσβαση σε βασικές δημόσιες υπηρεσίες θα καταστούν πολύ λιγότερο επαχθή για τους κατοίκους των νησιών. Οι νησιώτες δεν επιθυμούν μόνο να κυκλοφορούν ελεύθερα αλλά, προπάντων, να συνεχίσουν να ζουν στα νησιά τους.</w:t>
      </w:r>
    </w:p>
    <w:p w14:paraId="7A5E265A" w14:textId="77777777" w:rsidR="00083786" w:rsidRPr="000B2523" w:rsidRDefault="00083786" w:rsidP="00BF5F3D">
      <w:pPr>
        <w:ind w:left="709"/>
        <w:rPr>
          <w:lang w:eastAsia="el-GR"/>
        </w:rPr>
      </w:pPr>
    </w:p>
    <w:p w14:paraId="109B3668" w14:textId="35A9F1A3" w:rsidR="003B5121" w:rsidRPr="000B2523" w:rsidRDefault="003B5121" w:rsidP="00BF5F3D">
      <w:pPr>
        <w:pStyle w:val="1"/>
        <w:keepNext/>
        <w:keepLines/>
        <w:rPr>
          <w:b/>
          <w:bCs/>
        </w:rPr>
      </w:pPr>
      <w:r w:rsidRPr="000B2523">
        <w:rPr>
          <w:b/>
        </w:rPr>
        <w:t>Τα νησιά είναι κομβικής σημασίας για το ευρωπαϊκό εγχείρημα</w:t>
      </w:r>
    </w:p>
    <w:p w14:paraId="0C71EEBF" w14:textId="77777777" w:rsidR="00702373" w:rsidRPr="000B2523" w:rsidRDefault="00702373" w:rsidP="00BF5F3D">
      <w:pPr>
        <w:keepNext/>
        <w:keepLines/>
        <w:ind w:left="709"/>
      </w:pPr>
    </w:p>
    <w:p w14:paraId="2D830082" w14:textId="340725AF" w:rsidR="003B5121" w:rsidRPr="000B2523" w:rsidRDefault="003B5121" w:rsidP="00BF5F3D">
      <w:pPr>
        <w:pStyle w:val="2"/>
        <w:ind w:left="567" w:hanging="578"/>
      </w:pPr>
      <w:r w:rsidRPr="000B2523">
        <w:t>Οι νησιωτικές περιοχές αποτελούν σημείο συγκέντρωσης όλων των σημαντικών σημερινών διαδικασιών μετάβασης. Η ΕΟΚΕ θεωρεί ότι η καταγραφή του σφυγμού των νησιών σημαίνει την κατανόηση, σε κλίμακα προσβάσιμη σε όλους, των συστημικών αλληλεπιδράσεων μεταξύ της κλιματικής αλλαγής, των δημογραφικών εξελίξεων, της ενεργειακής μετάβασης και του γεωπολιτικού μετασχηματισμού. Με την αντιμετώπιση των διαρθρωτικών προβλημάτων των νησιωτικών οικονομιών και οικοσυστημάτων μέσω κατάλληλων μηχανισμών ―όπως η καθιέρωση ειδικής συνιστώσας για τα νησιά στην πολιτική συνοχής, την πολιτική μεταφορών ή τη θαλάσσια πολιτική― η ΕΕ θα μπορούσε να κάνει ήδη την αρχή για την αντιμετώπιση των τεράστιων προκλήσεων που τίθενται σήμερα ενώπιόν της.</w:t>
      </w:r>
    </w:p>
    <w:p w14:paraId="113D805F" w14:textId="77777777" w:rsidR="00083786" w:rsidRPr="000B2523" w:rsidRDefault="00083786" w:rsidP="00BF5F3D">
      <w:pPr>
        <w:ind w:left="709"/>
        <w:rPr>
          <w:lang w:eastAsia="el-GR"/>
        </w:rPr>
      </w:pPr>
    </w:p>
    <w:p w14:paraId="23DFA882" w14:textId="49AAD5F4" w:rsidR="00953E72" w:rsidRPr="000B2523" w:rsidRDefault="00542CA4" w:rsidP="00BF5F3D">
      <w:pPr>
        <w:pStyle w:val="2"/>
        <w:ind w:left="567" w:hanging="578"/>
      </w:pPr>
      <w:r w:rsidRPr="000B2523">
        <w:t xml:space="preserve">Η ΕΟΚΕ είναι της άποψης ότι η μελλοντική ισχύς της Ευρώπης σφυρηλατείται και στη θάλασσα, κατά μήκος του Αιγαίου Αρχιπελάγους, των τραχιών ακτών της Ιρλανδίας, των όρμων της Μάλτας, αλλά και στην Κορσική, τη Σαρδηνία, την Κρήτη, τις Αζόρες, την Κύπρο και έως τις παγωμένες ακτές της νήσου Γκότλαντ. Οι νησιωτικές περιοχές της Ευρωπαϊκής Ένωσης αποτελούν επίσης σημεία όπου διαμορφώνεται το πεπρωμένο της. Οι μεγάλες παγκόσμιες δυνάμεις έχουν ήδη αντιληφθεί αυτό που η ΕΕ εξακολουθεί να διστάζει να αναγνωρίσει: </w:t>
      </w:r>
      <w:r w:rsidRPr="000B2523">
        <w:rPr>
          <w:b/>
        </w:rPr>
        <w:t>τα νησιά αποτελούν στρατηγικά «προκεχωρημένα φυλάκια» σε ένα ολοένα και πιο απρόβλεπτο παγκόσμιο τοπίο.</w:t>
      </w:r>
    </w:p>
    <w:p w14:paraId="39DED110" w14:textId="77777777" w:rsidR="00083786" w:rsidRPr="000B2523" w:rsidRDefault="00083786" w:rsidP="00BF5F3D">
      <w:pPr>
        <w:ind w:left="709"/>
        <w:rPr>
          <w:lang w:eastAsia="el-GR"/>
        </w:rPr>
      </w:pPr>
    </w:p>
    <w:p w14:paraId="32778F47" w14:textId="7F726F29" w:rsidR="00047E51" w:rsidRPr="000B2523" w:rsidRDefault="007F5237" w:rsidP="00BF5F3D">
      <w:pPr>
        <w:pStyle w:val="2"/>
        <w:ind w:left="567" w:hanging="578"/>
        <w:rPr>
          <w:b/>
        </w:rPr>
      </w:pPr>
      <w:r w:rsidRPr="000B2523">
        <w:t xml:space="preserve">Η ΕΟΚΕ πιστεύει ακράδαντα ότι αυτό που χρειάζεται αυτήν τη στιγμή είναι μια </w:t>
      </w:r>
      <w:r w:rsidRPr="000B2523">
        <w:rPr>
          <w:b/>
        </w:rPr>
        <w:t>πραγματική αλλαγή τρόπου σκέψης</w:t>
      </w:r>
      <w:r w:rsidRPr="000B2523">
        <w:t xml:space="preserve">: μια Ευρωπαϊκή Ένωση που θα αναγνωρίσει πλήρως τη γεωγραφική ποικιλομορφία της και την πολυδιάστατη αξία των νησιωτικών περιοχών της, και θα μετατρέψει τα νησιά αυτά σε </w:t>
      </w:r>
      <w:r w:rsidRPr="000B2523">
        <w:rPr>
          <w:b/>
        </w:rPr>
        <w:t>κινητήριες δυνάμεις μετασχηματισμού</w:t>
      </w:r>
      <w:r w:rsidRPr="000B2523">
        <w:t xml:space="preserve">, </w:t>
      </w:r>
      <w:r w:rsidRPr="000B2523">
        <w:rPr>
          <w:b/>
        </w:rPr>
        <w:t>πυλώνες ανθεκτικότητας</w:t>
      </w:r>
      <w:r w:rsidRPr="000B2523">
        <w:t xml:space="preserve"> και </w:t>
      </w:r>
      <w:r w:rsidRPr="000B2523">
        <w:rPr>
          <w:b/>
        </w:rPr>
        <w:t>κόμβους καινοτομίας, συνεργασίας και ειρήνης</w:t>
      </w:r>
      <w:r w:rsidRPr="000B2523">
        <w:t>.</w:t>
      </w:r>
    </w:p>
    <w:p w14:paraId="67DC047D" w14:textId="77777777" w:rsidR="00452A52" w:rsidRPr="000B2523" w:rsidRDefault="00452A52" w:rsidP="00BF5F3D">
      <w:pPr>
        <w:ind w:left="709"/>
      </w:pPr>
    </w:p>
    <w:p w14:paraId="206B7F5E" w14:textId="4DFC34E4" w:rsidR="00452A52" w:rsidRPr="000B2523" w:rsidRDefault="00E56417" w:rsidP="00BF5F3D">
      <w:pPr>
        <w:pStyle w:val="2"/>
        <w:ind w:left="567" w:hanging="578"/>
      </w:pPr>
      <w:r w:rsidRPr="000B2523">
        <w:lastRenderedPageBreak/>
        <w:t>Η στρατηγική της ΕΕ για τα νησιά θα πρέπει να αποτελέσει συνεκτική, επιχειρησιακή αντίδραση στις προαναφερθείσες προκλήσεις και προτεραιότητες, αλλά δεν θα πρέπει να περιοριστεί στην αντιμετώπιση τομεακών προκλήσεων μεμονωμένα. Πρέπει να προωθήσει μια συστημική αλλαγή στον τρόπο με τον οποίο η Ευρωπαϊκή Ένωση προσεγγίζει τον νησιωτικό χαρακτήρα, διασφαλίζοντας ότι τα ιδιαίτερα χαρακτηριστικά των νησιωτικών περιοχών γίνονται κατανοητά σε βάθος, λαμβάνονται υπόψη —επίσης από την άποψη της Ανθεκτικότητας 2.0</w:t>
      </w:r>
      <w:r w:rsidR="00DD49E4" w:rsidRPr="000B2523">
        <w:rPr>
          <w:rStyle w:val="a6"/>
          <w:lang w:eastAsia="el-GR"/>
        </w:rPr>
        <w:footnoteReference w:id="5"/>
      </w:r>
      <w:r w:rsidRPr="000B2523">
        <w:t>— και ενσωματώνονται σε όλα τα στάδια της διαδικασίας χάραξης πολιτικής.</w:t>
      </w:r>
    </w:p>
    <w:p w14:paraId="579E762F" w14:textId="77777777" w:rsidR="00762ACD" w:rsidRPr="000B2523" w:rsidRDefault="00762ACD" w:rsidP="00BF5F3D">
      <w:pPr>
        <w:rPr>
          <w:lang w:eastAsia="el-GR"/>
        </w:rPr>
      </w:pPr>
    </w:p>
    <w:p w14:paraId="61AEF3B8" w14:textId="77777777" w:rsidR="00762ACD" w:rsidRPr="000B2523" w:rsidRDefault="00762ACD" w:rsidP="00BF5F3D">
      <w:r w:rsidRPr="000B2523">
        <w:t>Βρυξέλλες, 5 Φεβρουαρίου 2026.</w:t>
      </w:r>
    </w:p>
    <w:p w14:paraId="0FC8C43F" w14:textId="77777777" w:rsidR="00762ACD" w:rsidRPr="000B2523" w:rsidRDefault="00762ACD" w:rsidP="00BF5F3D"/>
    <w:p w14:paraId="241D55AB" w14:textId="77777777" w:rsidR="00762ACD" w:rsidRPr="000B2523" w:rsidRDefault="00762ACD" w:rsidP="00BF5F3D"/>
    <w:p w14:paraId="146C3E1E" w14:textId="77777777" w:rsidR="00762ACD" w:rsidRPr="000B2523" w:rsidRDefault="00762ACD" w:rsidP="00BF5F3D">
      <w:pPr>
        <w:rPr>
          <w:i/>
          <w:iCs/>
        </w:rPr>
      </w:pPr>
      <w:r w:rsidRPr="000B2523">
        <w:rPr>
          <w:i/>
        </w:rPr>
        <w:t>Η πρόεδρος του τμήματος «Οικονομική και Νομισματική Ένωση, οικονομική και κοινωνική συνοχή»</w:t>
      </w:r>
    </w:p>
    <w:p w14:paraId="1797B2D5" w14:textId="77777777" w:rsidR="00762ACD" w:rsidRPr="00D26C45" w:rsidRDefault="00762ACD" w:rsidP="00BF5F3D">
      <w:pPr>
        <w:rPr>
          <w:lang w:val="en-US"/>
        </w:rPr>
      </w:pPr>
      <w:r w:rsidRPr="00D26C45">
        <w:rPr>
          <w:lang w:val="en-US"/>
        </w:rPr>
        <w:t>Elena CALISTRU</w:t>
      </w:r>
    </w:p>
    <w:p w14:paraId="219EE2ED" w14:textId="77777777" w:rsidR="00762ACD" w:rsidRPr="00D26C45" w:rsidRDefault="00762ACD" w:rsidP="00BF5F3D">
      <w:pPr>
        <w:rPr>
          <w:lang w:val="en-US" w:eastAsia="el-GR"/>
        </w:rPr>
      </w:pPr>
    </w:p>
    <w:p w14:paraId="512C44CB" w14:textId="77777777" w:rsidR="00501F78" w:rsidRPr="00D26C45" w:rsidRDefault="00501F78" w:rsidP="00BF5F3D">
      <w:pPr>
        <w:rPr>
          <w:lang w:val="en-US" w:eastAsia="el-GR"/>
        </w:rPr>
      </w:pPr>
    </w:p>
    <w:p w14:paraId="4FD5BC94" w14:textId="77777777" w:rsidR="008F0745" w:rsidRPr="00D26C45" w:rsidRDefault="008F0745" w:rsidP="00BF5F3D">
      <w:pPr>
        <w:jc w:val="center"/>
        <w:rPr>
          <w:lang w:val="en-US"/>
        </w:rPr>
      </w:pPr>
      <w:r w:rsidRPr="00D26C45">
        <w:rPr>
          <w:lang w:val="en-US"/>
        </w:rPr>
        <w:t>*</w:t>
      </w:r>
    </w:p>
    <w:p w14:paraId="55B06C8E" w14:textId="77777777" w:rsidR="008F0745" w:rsidRPr="00D26C45" w:rsidRDefault="008F0745" w:rsidP="00BF5F3D">
      <w:pPr>
        <w:jc w:val="center"/>
        <w:rPr>
          <w:lang w:val="en-US"/>
        </w:rPr>
      </w:pPr>
    </w:p>
    <w:p w14:paraId="7FCE9DC3" w14:textId="6C4167EA" w:rsidR="001E7A43" w:rsidRPr="00D26C45" w:rsidRDefault="008F0745" w:rsidP="00BF5F3D">
      <w:pPr>
        <w:overflowPunct w:val="0"/>
        <w:autoSpaceDE w:val="0"/>
        <w:autoSpaceDN w:val="0"/>
        <w:adjustRightInd w:val="0"/>
        <w:jc w:val="center"/>
        <w:textAlignment w:val="baseline"/>
        <w:rPr>
          <w:lang w:val="en-US"/>
        </w:rPr>
      </w:pPr>
      <w:r w:rsidRPr="00D26C45">
        <w:rPr>
          <w:lang w:val="en-US"/>
        </w:rPr>
        <w:t>*</w:t>
      </w:r>
      <w:r w:rsidRPr="00D26C45">
        <w:rPr>
          <w:lang w:val="en-US"/>
        </w:rPr>
        <w:tab/>
        <w:t>*</w:t>
      </w:r>
    </w:p>
    <w:p w14:paraId="060ED6AA" w14:textId="71EE39DE" w:rsidR="008F0745" w:rsidRPr="00D26C45" w:rsidRDefault="008F0745" w:rsidP="00BF5F3D">
      <w:pPr>
        <w:overflowPunct w:val="0"/>
        <w:autoSpaceDE w:val="0"/>
        <w:autoSpaceDN w:val="0"/>
        <w:adjustRightInd w:val="0"/>
        <w:jc w:val="center"/>
        <w:textAlignment w:val="baseline"/>
        <w:rPr>
          <w:lang w:val="en-US"/>
        </w:rPr>
      </w:pPr>
      <w:r w:rsidRPr="00D26C45">
        <w:rPr>
          <w:lang w:val="en-US"/>
        </w:rPr>
        <w:br w:type="page"/>
      </w:r>
    </w:p>
    <w:p w14:paraId="03D4ACC3" w14:textId="73A835E6" w:rsidR="001E7A43" w:rsidRPr="00D26C45" w:rsidRDefault="008F0745" w:rsidP="00BF5F3D">
      <w:pPr>
        <w:overflowPunct w:val="0"/>
        <w:autoSpaceDE w:val="0"/>
        <w:autoSpaceDN w:val="0"/>
        <w:adjustRightInd w:val="0"/>
        <w:jc w:val="center"/>
        <w:textAlignment w:val="baseline"/>
        <w:rPr>
          <w:b/>
          <w:bCs/>
          <w:lang w:val="en-US"/>
        </w:rPr>
      </w:pPr>
      <w:r w:rsidRPr="000B2523">
        <w:rPr>
          <w:b/>
        </w:rPr>
        <w:lastRenderedPageBreak/>
        <w:t>ΠΑΡΑΡΤΗΜΑ</w:t>
      </w:r>
    </w:p>
    <w:p w14:paraId="0B0CF1DE" w14:textId="77777777" w:rsidR="00105F40" w:rsidRPr="00D26C45" w:rsidRDefault="00105F40" w:rsidP="00BF5F3D">
      <w:pPr>
        <w:jc w:val="center"/>
        <w:rPr>
          <w:lang w:val="en-US" w:eastAsia="el-GR"/>
        </w:rPr>
      </w:pPr>
    </w:p>
    <w:p w14:paraId="7EE72CD8" w14:textId="4CE33F43" w:rsidR="001E7A43" w:rsidRPr="00D26C45" w:rsidRDefault="001E7A43" w:rsidP="00BF5F3D">
      <w:pPr>
        <w:jc w:val="center"/>
        <w:rPr>
          <w:b/>
          <w:bCs/>
          <w:lang w:val="en-US"/>
        </w:rPr>
      </w:pPr>
      <w:r w:rsidRPr="00D26C45">
        <w:rPr>
          <w:b/>
          <w:lang w:val="en-US"/>
        </w:rPr>
        <w:t>Official definitions of islands</w:t>
      </w:r>
    </w:p>
    <w:p w14:paraId="05B0470B" w14:textId="2CA71867" w:rsidR="001E7A43" w:rsidRPr="00D26C45" w:rsidRDefault="001E7A43" w:rsidP="00BF5F3D">
      <w:pPr>
        <w:rPr>
          <w:lang w:val="en-US" w:eastAsia="el-GR"/>
        </w:rPr>
      </w:pPr>
    </w:p>
    <w:p w14:paraId="56A22C1D" w14:textId="736E73A4" w:rsidR="001E7A43" w:rsidRPr="000B2523" w:rsidRDefault="001E7A43" w:rsidP="00A96FC5">
      <w:pPr>
        <w:pStyle w:val="a8"/>
        <w:numPr>
          <w:ilvl w:val="0"/>
          <w:numId w:val="36"/>
        </w:numPr>
        <w:ind w:left="567" w:hanging="567"/>
      </w:pPr>
      <w:r w:rsidRPr="000B2523">
        <w:rPr>
          <w:b/>
        </w:rPr>
        <w:t xml:space="preserve">United Nations </w:t>
      </w:r>
      <w:proofErr w:type="spellStart"/>
      <w:r w:rsidRPr="000B2523">
        <w:rPr>
          <w:b/>
        </w:rPr>
        <w:t>definition</w:t>
      </w:r>
      <w:proofErr w:type="spellEnd"/>
    </w:p>
    <w:p w14:paraId="26833A71" w14:textId="49BD1DB8" w:rsidR="001E7A43" w:rsidRPr="000B2523" w:rsidRDefault="001E7A43" w:rsidP="00BF5F3D">
      <w:pPr>
        <w:rPr>
          <w:lang w:eastAsia="el-GR"/>
        </w:rPr>
      </w:pPr>
    </w:p>
    <w:p w14:paraId="5F16941E" w14:textId="3B9A81EC" w:rsidR="001E7A43" w:rsidRPr="00D26C45" w:rsidRDefault="001E7A43" w:rsidP="00BF5F3D">
      <w:pPr>
        <w:rPr>
          <w:lang w:val="en-US"/>
        </w:rPr>
      </w:pPr>
      <w:r w:rsidRPr="00D26C45">
        <w:rPr>
          <w:lang w:val="en-US"/>
        </w:rPr>
        <w:t xml:space="preserve">UNCLOS (United Nations Convention on the Law of the Sea) contains the following legal definition of what an ‘island’ is in Article 121, entitled </w:t>
      </w:r>
      <w:r w:rsidRPr="00D26C45">
        <w:rPr>
          <w:i/>
          <w:lang w:val="en-US"/>
        </w:rPr>
        <w:t>Regime of islands</w:t>
      </w:r>
      <w:r w:rsidRPr="00D26C45">
        <w:rPr>
          <w:lang w:val="en-US"/>
        </w:rPr>
        <w:t>: ‘An island is a naturally formed area of land, surrounded by water, which is above water at high tide’. This is a legal definition under international law. It sets no minimum size and does not require the island to be populated. It does not look at distance from the mainland. It is used for issues of Exclusive Economic Zones (EEZs), continental shelf, territorial waters, etc. The same article distinguishes ‘rocks’ (rock islets) which cannot sustain human habitation or an economic life of their own and therefore have limited maritime entitlements.</w:t>
      </w:r>
    </w:p>
    <w:p w14:paraId="003D3D7C" w14:textId="2B113639" w:rsidR="001E7A43" w:rsidRPr="00D26C45" w:rsidRDefault="001E7A43" w:rsidP="00BF5F3D">
      <w:pPr>
        <w:rPr>
          <w:lang w:val="en-US" w:eastAsia="el-GR"/>
        </w:rPr>
      </w:pPr>
    </w:p>
    <w:p w14:paraId="486C77D1" w14:textId="2239B231" w:rsidR="001E7A43" w:rsidRPr="00D26C45" w:rsidRDefault="001E7A43" w:rsidP="00A96FC5">
      <w:pPr>
        <w:pStyle w:val="a8"/>
        <w:numPr>
          <w:ilvl w:val="0"/>
          <w:numId w:val="36"/>
        </w:numPr>
        <w:ind w:left="567" w:hanging="567"/>
        <w:rPr>
          <w:lang w:val="en-US"/>
        </w:rPr>
      </w:pPr>
      <w:r w:rsidRPr="00D26C45">
        <w:rPr>
          <w:b/>
          <w:lang w:val="en-US"/>
        </w:rPr>
        <w:t>Eurostat definition of ‘island’/‘island region’.</w:t>
      </w:r>
      <w:r w:rsidRPr="00D26C45">
        <w:rPr>
          <w:lang w:val="en-US"/>
        </w:rPr>
        <w:t xml:space="preserve"> (Eurostat Glossary: Island region/NUTS methodology)</w:t>
      </w:r>
    </w:p>
    <w:p w14:paraId="043D687E" w14:textId="3BBB9AE9" w:rsidR="001E7A43" w:rsidRPr="00D26C45" w:rsidRDefault="001E7A43" w:rsidP="00BF5F3D">
      <w:pPr>
        <w:rPr>
          <w:lang w:val="en-US" w:eastAsia="el-GR"/>
        </w:rPr>
      </w:pPr>
    </w:p>
    <w:p w14:paraId="5228E037" w14:textId="712FDBFA" w:rsidR="00D700F7" w:rsidRPr="00D26C45" w:rsidRDefault="001E7A43" w:rsidP="00BF5F3D">
      <w:pPr>
        <w:rPr>
          <w:lang w:val="en-US"/>
        </w:rPr>
      </w:pPr>
      <w:r w:rsidRPr="00D26C45">
        <w:rPr>
          <w:lang w:val="en-US"/>
        </w:rPr>
        <w:t xml:space="preserve">According to Eurostat (in the NUTS classification for regional statistics), an ‘island’, at NUTS 3 level can be found in Eurostat document </w:t>
      </w:r>
      <w:r w:rsidRPr="00D26C45">
        <w:rPr>
          <w:i/>
          <w:lang w:val="en-US"/>
        </w:rPr>
        <w:t>Territorial typologies manual – island regions</w:t>
      </w:r>
      <w:r w:rsidR="008D569B" w:rsidRPr="000B2523">
        <w:rPr>
          <w:rStyle w:val="a6"/>
          <w:lang w:eastAsia="el-GR"/>
        </w:rPr>
        <w:footnoteReference w:id="6"/>
      </w:r>
      <w:r w:rsidRPr="00D26C45">
        <w:rPr>
          <w:lang w:val="en-US"/>
        </w:rPr>
        <w:t>.</w:t>
      </w:r>
    </w:p>
    <w:p w14:paraId="1F430D38" w14:textId="77777777" w:rsidR="00105F40" w:rsidRPr="00D26C45" w:rsidRDefault="00105F40" w:rsidP="00BF5F3D">
      <w:pPr>
        <w:rPr>
          <w:lang w:val="en-US" w:eastAsia="el-GR"/>
        </w:rPr>
      </w:pPr>
    </w:p>
    <w:p w14:paraId="7721FF37" w14:textId="511C4026" w:rsidR="001E7A43" w:rsidRPr="00D26C45" w:rsidRDefault="00105F40" w:rsidP="00BF5F3D">
      <w:pPr>
        <w:rPr>
          <w:lang w:val="en-US"/>
        </w:rPr>
      </w:pPr>
      <w:r w:rsidRPr="00D26C45">
        <w:rPr>
          <w:lang w:val="en-US"/>
        </w:rPr>
        <w:t>The EESC would like to stress that European policies and strategies on insularity concern all islands (as per the UN definition) and not only island regions (NUTS 2 &amp; 3).</w:t>
      </w:r>
    </w:p>
    <w:p w14:paraId="6E48E36E" w14:textId="02AA946B" w:rsidR="001E7A43" w:rsidRPr="00D26C45" w:rsidRDefault="001E7A43" w:rsidP="00BF5F3D">
      <w:pPr>
        <w:rPr>
          <w:lang w:val="en-US" w:eastAsia="el-GR"/>
        </w:rPr>
      </w:pPr>
    </w:p>
    <w:p w14:paraId="57CA2127" w14:textId="4AD62966" w:rsidR="00A252F5" w:rsidRPr="000B2523" w:rsidRDefault="00A252F5" w:rsidP="00BF5F3D">
      <w:pPr>
        <w:overflowPunct w:val="0"/>
        <w:autoSpaceDE w:val="0"/>
        <w:autoSpaceDN w:val="0"/>
        <w:adjustRightInd w:val="0"/>
        <w:jc w:val="center"/>
        <w:textAlignment w:val="baseline"/>
      </w:pPr>
      <w:r w:rsidRPr="000B2523">
        <w:t>_____________</w:t>
      </w:r>
    </w:p>
    <w:sectPr w:rsidR="00A252F5" w:rsidRPr="000B2523" w:rsidSect="000B2523">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9" w:footer="709"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A515" w14:textId="77777777" w:rsidR="00A61AC6" w:rsidRDefault="00A61AC6">
      <w:pPr>
        <w:spacing w:line="240" w:lineRule="auto"/>
      </w:pPr>
      <w:r>
        <w:separator/>
      </w:r>
    </w:p>
  </w:endnote>
  <w:endnote w:type="continuationSeparator" w:id="0">
    <w:p w14:paraId="284305A8" w14:textId="77777777" w:rsidR="00A61AC6" w:rsidRDefault="00A61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1A2F" w14:textId="77777777" w:rsidR="000B2523" w:rsidRPr="000B2523" w:rsidRDefault="000B2523" w:rsidP="000B252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BACF" w14:textId="57A1B9A6" w:rsidR="00B41AF4" w:rsidRPr="000B2523" w:rsidRDefault="000B2523" w:rsidP="000B2523">
    <w:pPr>
      <w:pStyle w:val="a3"/>
    </w:pPr>
    <w:r>
      <w:t xml:space="preserve">ECO/689 – EESC-2025-03598-00-00-AS-TRA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D26C45">
        <w:rPr>
          <w:noProof/>
        </w:rPr>
        <w:instrText>17</w:instrText>
      </w:r>
    </w:fldSimple>
    <w:r>
      <w:instrText xml:space="preserve"> -0 </w:instrText>
    </w:r>
    <w:r>
      <w:fldChar w:fldCharType="separate"/>
    </w:r>
    <w:r w:rsidR="00D26C45">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249" w14:textId="77777777" w:rsidR="000B2523" w:rsidRPr="000B2523" w:rsidRDefault="000B2523" w:rsidP="000B2523">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1A93" w14:textId="77777777" w:rsidR="009205DF" w:rsidRPr="000B2523" w:rsidRDefault="009205DF" w:rsidP="000B2523">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98F4" w14:textId="2AE69EC0" w:rsidR="00B41AF4" w:rsidRPr="000B2523" w:rsidRDefault="000B2523" w:rsidP="000B2523">
    <w:pPr>
      <w:pStyle w:val="a3"/>
    </w:pPr>
    <w:r>
      <w:t xml:space="preserve">ECO/689 – EESC-2025-03598-00-00-AS-TRA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D26C45">
        <w:rPr>
          <w:noProof/>
        </w:rPr>
        <w:instrText>17</w:instrText>
      </w:r>
    </w:fldSimple>
    <w:r>
      <w:instrText xml:space="preserve"> -0 </w:instrText>
    </w:r>
    <w:r>
      <w:fldChar w:fldCharType="separate"/>
    </w:r>
    <w:r w:rsidR="00D26C45">
      <w:rPr>
        <w:noProof/>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0947" w14:textId="77777777" w:rsidR="009205DF" w:rsidRPr="000B2523" w:rsidRDefault="009205DF" w:rsidP="000B25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851F" w14:textId="77777777" w:rsidR="00A61AC6" w:rsidRDefault="00A61AC6">
      <w:pPr>
        <w:rPr>
          <w:sz w:val="12"/>
        </w:rPr>
      </w:pPr>
      <w:r>
        <w:separator/>
      </w:r>
    </w:p>
  </w:footnote>
  <w:footnote w:type="continuationSeparator" w:id="0">
    <w:p w14:paraId="62B902C6" w14:textId="77777777" w:rsidR="00A61AC6" w:rsidRDefault="00A61AC6">
      <w:pPr>
        <w:rPr>
          <w:sz w:val="12"/>
        </w:rPr>
      </w:pPr>
      <w:r>
        <w:continuationSeparator/>
      </w:r>
    </w:p>
  </w:footnote>
  <w:footnote w:id="1">
    <w:p w14:paraId="01EF541B" w14:textId="3CD7C993" w:rsidR="00BE5E5F" w:rsidRPr="000B2523" w:rsidRDefault="00BE5E5F">
      <w:pPr>
        <w:pStyle w:val="a4"/>
      </w:pPr>
      <w:r w:rsidRPr="000B2523">
        <w:rPr>
          <w:rStyle w:val="a6"/>
        </w:rPr>
        <w:footnoteRef/>
      </w:r>
      <w:r w:rsidRPr="000B2523">
        <w:tab/>
      </w:r>
      <w:hyperlink r:id="rId1" w:history="1">
        <w:r w:rsidRPr="000B2523">
          <w:rPr>
            <w:rStyle w:val="-"/>
          </w:rPr>
          <w:t>Έκθεση στρατηγικής ανάλυσης προοπτικών για το 2025</w:t>
        </w:r>
      </w:hyperlink>
      <w:r w:rsidRPr="000B2523">
        <w:t>.</w:t>
      </w:r>
    </w:p>
  </w:footnote>
  <w:footnote w:id="2">
    <w:p w14:paraId="51B53B05" w14:textId="1B1BCDAB" w:rsidR="00BE5E5F" w:rsidRPr="000B2523" w:rsidRDefault="00BE5E5F">
      <w:pPr>
        <w:pStyle w:val="a4"/>
      </w:pPr>
      <w:r w:rsidRPr="000B2523">
        <w:rPr>
          <w:rStyle w:val="a6"/>
        </w:rPr>
        <w:footnoteRef/>
      </w:r>
      <w:r w:rsidRPr="000B2523">
        <w:tab/>
      </w:r>
      <w:hyperlink r:id="rId2" w:history="1">
        <w:r w:rsidRPr="000B2523">
          <w:rPr>
            <w:rStyle w:val="-"/>
          </w:rPr>
          <w:t>Πρωτοβουλία «Καθαρή ενέργεια για τα νησιά της ΕΕ»</w:t>
        </w:r>
      </w:hyperlink>
      <w:r w:rsidRPr="000B2523">
        <w:t>.</w:t>
      </w:r>
    </w:p>
  </w:footnote>
  <w:footnote w:id="3">
    <w:p w14:paraId="5203E8D7" w14:textId="4013C7BF" w:rsidR="00BE5E5F" w:rsidRPr="000B2523" w:rsidRDefault="00BE5E5F">
      <w:pPr>
        <w:pStyle w:val="a4"/>
      </w:pPr>
      <w:r w:rsidRPr="000B2523">
        <w:rPr>
          <w:rStyle w:val="a6"/>
        </w:rPr>
        <w:footnoteRef/>
      </w:r>
      <w:r w:rsidRPr="000B2523">
        <w:tab/>
      </w:r>
      <w:hyperlink r:id="rId3" w:history="1">
        <w:r w:rsidRPr="000B2523">
          <w:rPr>
            <w:rStyle w:val="-"/>
          </w:rPr>
          <w:t>Ευρωπαϊκό Γεωργικό Ταμείο Εγγυήσεων</w:t>
        </w:r>
      </w:hyperlink>
      <w:r w:rsidRPr="000B2523">
        <w:t>.</w:t>
      </w:r>
    </w:p>
  </w:footnote>
  <w:footnote w:id="4">
    <w:p w14:paraId="22450497" w14:textId="77777777" w:rsidR="00001205" w:rsidRPr="000B2523" w:rsidRDefault="00001205" w:rsidP="00001205">
      <w:pPr>
        <w:pStyle w:val="a4"/>
        <w:ind w:left="709" w:hanging="709"/>
      </w:pPr>
      <w:r w:rsidRPr="000B2523">
        <w:rPr>
          <w:rStyle w:val="a6"/>
        </w:rPr>
        <w:footnoteRef/>
      </w:r>
      <w:r w:rsidRPr="000B2523">
        <w:tab/>
      </w:r>
      <w:r w:rsidRPr="000B2523">
        <w:t xml:space="preserve">Βλ. </w:t>
      </w:r>
      <w:hyperlink r:id="rId4" w:history="1">
        <w:r w:rsidRPr="000B2523">
          <w:rPr>
            <w:rStyle w:val="-"/>
          </w:rPr>
          <w:t>ΕΟΕΣ ESPON</w:t>
        </w:r>
      </w:hyperlink>
      <w:r w:rsidRPr="000B2523">
        <w:t>.</w:t>
      </w:r>
    </w:p>
  </w:footnote>
  <w:footnote w:id="5">
    <w:p w14:paraId="7EA33DCA" w14:textId="7C37A410" w:rsidR="00DD49E4" w:rsidRPr="000B2523" w:rsidRDefault="00DD49E4">
      <w:pPr>
        <w:pStyle w:val="a4"/>
      </w:pPr>
      <w:r w:rsidRPr="000B2523">
        <w:rPr>
          <w:rStyle w:val="a6"/>
        </w:rPr>
        <w:footnoteRef/>
      </w:r>
      <w:r w:rsidRPr="000B2523">
        <w:tab/>
      </w:r>
      <w:hyperlink r:id="rId5" w:history="1">
        <w:r w:rsidRPr="000B2523">
          <w:rPr>
            <w:rStyle w:val="-"/>
          </w:rPr>
          <w:t>Έκθεση στρατηγικής ανάλυσης προοπτικών για το 2025</w:t>
        </w:r>
      </w:hyperlink>
      <w:r w:rsidRPr="000B2523">
        <w:t>.</w:t>
      </w:r>
    </w:p>
  </w:footnote>
  <w:footnote w:id="6">
    <w:p w14:paraId="73AA1CB5" w14:textId="0E46F448" w:rsidR="008D569B" w:rsidRPr="000B2523" w:rsidRDefault="008D569B">
      <w:pPr>
        <w:pStyle w:val="a4"/>
      </w:pPr>
      <w:r w:rsidRPr="000B2523">
        <w:rPr>
          <w:rStyle w:val="a6"/>
        </w:rPr>
        <w:footnoteRef/>
      </w:r>
      <w:r w:rsidRPr="000B2523">
        <w:t xml:space="preserve"> </w:t>
      </w:r>
      <w:r w:rsidRPr="000B2523">
        <w:tab/>
      </w:r>
      <w:hyperlink r:id="rId6" w:history="1">
        <w:r w:rsidRPr="000B2523">
          <w:rPr>
            <w:rStyle w:val="-"/>
          </w:rPr>
          <w:t>https://ec.europa.eu/eurostat/statistics-explained/index.php?title=Territorial_typologies_manual_-_island_regions</w:t>
        </w:r>
      </w:hyperlink>
      <w:r w:rsidRPr="000B25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EAF1" w14:textId="77777777" w:rsidR="000B2523" w:rsidRPr="000B2523" w:rsidRDefault="000B2523" w:rsidP="000B252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57B0" w14:textId="77777777" w:rsidR="000B2523" w:rsidRPr="000B2523" w:rsidRDefault="000B2523" w:rsidP="000B25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DF71" w14:textId="77777777" w:rsidR="000B2523" w:rsidRPr="000B2523" w:rsidRDefault="000B2523" w:rsidP="000B252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5825" w14:textId="77777777" w:rsidR="009205DF" w:rsidRPr="000B2523" w:rsidRDefault="009205DF" w:rsidP="000B252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EC75" w14:textId="251E7B8F" w:rsidR="00B41AF4" w:rsidRPr="000B2523" w:rsidRDefault="00B41AF4" w:rsidP="000B252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A363" w14:textId="77777777" w:rsidR="009205DF" w:rsidRPr="000B2523" w:rsidRDefault="009205DF" w:rsidP="000B25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C5430E2"/>
    <w:lvl w:ilvl="0">
      <w:start w:val="1"/>
      <w:numFmt w:val="decimal"/>
      <w:pStyle w:val="1"/>
      <w:lvlText w:val="%1."/>
      <w:legacy w:legacy="1" w:legacySpace="0" w:legacyIndent="0"/>
      <w:lvlJc w:val="left"/>
      <w:rPr>
        <w:b w:val="0"/>
        <w:bCs w:val="0"/>
      </w:rPr>
    </w:lvl>
    <w:lvl w:ilvl="1">
      <w:start w:val="1"/>
      <w:numFmt w:val="decimal"/>
      <w:pStyle w:val="2"/>
      <w:lvlText w:val="%1.%2"/>
      <w:legacy w:legacy="1" w:legacySpace="144" w:legacyIndent="0"/>
      <w:lvlJc w:val="left"/>
      <w:rPr>
        <w:b w:val="0"/>
        <w:bCs/>
      </w:rPr>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11B271B"/>
    <w:multiLevelType w:val="hybridMultilevel"/>
    <w:tmpl w:val="0DFA7D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27737"/>
    <w:multiLevelType w:val="hybridMultilevel"/>
    <w:tmpl w:val="AB3235DE"/>
    <w:lvl w:ilvl="0" w:tplc="DD603406">
      <w:start w:val="1"/>
      <w:numFmt w:val="bullet"/>
      <w:lvlText w:val=""/>
      <w:lvlJc w:val="left"/>
      <w:pPr>
        <w:ind w:left="720" w:hanging="360"/>
      </w:pPr>
      <w:rPr>
        <w:rFonts w:ascii="Symbol" w:hAnsi="Symbol"/>
      </w:rPr>
    </w:lvl>
    <w:lvl w:ilvl="1" w:tplc="369EBA1C">
      <w:start w:val="1"/>
      <w:numFmt w:val="bullet"/>
      <w:lvlText w:val=""/>
      <w:lvlJc w:val="left"/>
      <w:pPr>
        <w:ind w:left="720" w:hanging="360"/>
      </w:pPr>
      <w:rPr>
        <w:rFonts w:ascii="Symbol" w:hAnsi="Symbol"/>
      </w:rPr>
    </w:lvl>
    <w:lvl w:ilvl="2" w:tplc="5D62E41C">
      <w:start w:val="1"/>
      <w:numFmt w:val="bullet"/>
      <w:lvlText w:val=""/>
      <w:lvlJc w:val="left"/>
      <w:pPr>
        <w:ind w:left="720" w:hanging="360"/>
      </w:pPr>
      <w:rPr>
        <w:rFonts w:ascii="Symbol" w:hAnsi="Symbol"/>
      </w:rPr>
    </w:lvl>
    <w:lvl w:ilvl="3" w:tplc="AA5869DE">
      <w:start w:val="1"/>
      <w:numFmt w:val="bullet"/>
      <w:lvlText w:val=""/>
      <w:lvlJc w:val="left"/>
      <w:pPr>
        <w:ind w:left="720" w:hanging="360"/>
      </w:pPr>
      <w:rPr>
        <w:rFonts w:ascii="Symbol" w:hAnsi="Symbol"/>
      </w:rPr>
    </w:lvl>
    <w:lvl w:ilvl="4" w:tplc="062AC0BA">
      <w:start w:val="1"/>
      <w:numFmt w:val="bullet"/>
      <w:lvlText w:val=""/>
      <w:lvlJc w:val="left"/>
      <w:pPr>
        <w:ind w:left="720" w:hanging="360"/>
      </w:pPr>
      <w:rPr>
        <w:rFonts w:ascii="Symbol" w:hAnsi="Symbol"/>
      </w:rPr>
    </w:lvl>
    <w:lvl w:ilvl="5" w:tplc="2444C43C">
      <w:start w:val="1"/>
      <w:numFmt w:val="bullet"/>
      <w:lvlText w:val=""/>
      <w:lvlJc w:val="left"/>
      <w:pPr>
        <w:ind w:left="720" w:hanging="360"/>
      </w:pPr>
      <w:rPr>
        <w:rFonts w:ascii="Symbol" w:hAnsi="Symbol"/>
      </w:rPr>
    </w:lvl>
    <w:lvl w:ilvl="6" w:tplc="C11CECE8">
      <w:start w:val="1"/>
      <w:numFmt w:val="bullet"/>
      <w:lvlText w:val=""/>
      <w:lvlJc w:val="left"/>
      <w:pPr>
        <w:ind w:left="720" w:hanging="360"/>
      </w:pPr>
      <w:rPr>
        <w:rFonts w:ascii="Symbol" w:hAnsi="Symbol"/>
      </w:rPr>
    </w:lvl>
    <w:lvl w:ilvl="7" w:tplc="3446C3DE">
      <w:start w:val="1"/>
      <w:numFmt w:val="bullet"/>
      <w:lvlText w:val=""/>
      <w:lvlJc w:val="left"/>
      <w:pPr>
        <w:ind w:left="720" w:hanging="360"/>
      </w:pPr>
      <w:rPr>
        <w:rFonts w:ascii="Symbol" w:hAnsi="Symbol"/>
      </w:rPr>
    </w:lvl>
    <w:lvl w:ilvl="8" w:tplc="AC0E2F86">
      <w:start w:val="1"/>
      <w:numFmt w:val="bullet"/>
      <w:lvlText w:val=""/>
      <w:lvlJc w:val="left"/>
      <w:pPr>
        <w:ind w:left="720" w:hanging="360"/>
      </w:pPr>
      <w:rPr>
        <w:rFonts w:ascii="Symbol" w:hAnsi="Symbol"/>
      </w:rPr>
    </w:lvl>
  </w:abstractNum>
  <w:abstractNum w:abstractNumId="3" w15:restartNumberingAfterBreak="0">
    <w:nsid w:val="19406F8A"/>
    <w:multiLevelType w:val="hybridMultilevel"/>
    <w:tmpl w:val="AD4CBC3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4E2695"/>
    <w:multiLevelType w:val="multilevel"/>
    <w:tmpl w:val="DBA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351A2"/>
    <w:multiLevelType w:val="multilevel"/>
    <w:tmpl w:val="F342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02E38"/>
    <w:multiLevelType w:val="hybridMultilevel"/>
    <w:tmpl w:val="B95EC9CE"/>
    <w:lvl w:ilvl="0" w:tplc="9070B88A">
      <w:start w:val="1"/>
      <w:numFmt w:val="bullet"/>
      <w:lvlText w:val=""/>
      <w:lvlJc w:val="left"/>
      <w:pPr>
        <w:ind w:left="720" w:hanging="360"/>
      </w:pPr>
      <w:rPr>
        <w:rFonts w:ascii="Symbol" w:hAnsi="Symbol"/>
      </w:rPr>
    </w:lvl>
    <w:lvl w:ilvl="1" w:tplc="3F9000B8">
      <w:start w:val="1"/>
      <w:numFmt w:val="bullet"/>
      <w:lvlText w:val=""/>
      <w:lvlJc w:val="left"/>
      <w:pPr>
        <w:ind w:left="720" w:hanging="360"/>
      </w:pPr>
      <w:rPr>
        <w:rFonts w:ascii="Symbol" w:hAnsi="Symbol"/>
      </w:rPr>
    </w:lvl>
    <w:lvl w:ilvl="2" w:tplc="0CA8C316">
      <w:start w:val="1"/>
      <w:numFmt w:val="bullet"/>
      <w:lvlText w:val=""/>
      <w:lvlJc w:val="left"/>
      <w:pPr>
        <w:ind w:left="720" w:hanging="360"/>
      </w:pPr>
      <w:rPr>
        <w:rFonts w:ascii="Symbol" w:hAnsi="Symbol"/>
      </w:rPr>
    </w:lvl>
    <w:lvl w:ilvl="3" w:tplc="B4F48A8C">
      <w:start w:val="1"/>
      <w:numFmt w:val="bullet"/>
      <w:lvlText w:val=""/>
      <w:lvlJc w:val="left"/>
      <w:pPr>
        <w:ind w:left="720" w:hanging="360"/>
      </w:pPr>
      <w:rPr>
        <w:rFonts w:ascii="Symbol" w:hAnsi="Symbol"/>
      </w:rPr>
    </w:lvl>
    <w:lvl w:ilvl="4" w:tplc="B5FAD7C6">
      <w:start w:val="1"/>
      <w:numFmt w:val="bullet"/>
      <w:lvlText w:val=""/>
      <w:lvlJc w:val="left"/>
      <w:pPr>
        <w:ind w:left="720" w:hanging="360"/>
      </w:pPr>
      <w:rPr>
        <w:rFonts w:ascii="Symbol" w:hAnsi="Symbol"/>
      </w:rPr>
    </w:lvl>
    <w:lvl w:ilvl="5" w:tplc="473669EC">
      <w:start w:val="1"/>
      <w:numFmt w:val="bullet"/>
      <w:lvlText w:val=""/>
      <w:lvlJc w:val="left"/>
      <w:pPr>
        <w:ind w:left="720" w:hanging="360"/>
      </w:pPr>
      <w:rPr>
        <w:rFonts w:ascii="Symbol" w:hAnsi="Symbol"/>
      </w:rPr>
    </w:lvl>
    <w:lvl w:ilvl="6" w:tplc="15BAF258">
      <w:start w:val="1"/>
      <w:numFmt w:val="bullet"/>
      <w:lvlText w:val=""/>
      <w:lvlJc w:val="left"/>
      <w:pPr>
        <w:ind w:left="720" w:hanging="360"/>
      </w:pPr>
      <w:rPr>
        <w:rFonts w:ascii="Symbol" w:hAnsi="Symbol"/>
      </w:rPr>
    </w:lvl>
    <w:lvl w:ilvl="7" w:tplc="A1782BB4">
      <w:start w:val="1"/>
      <w:numFmt w:val="bullet"/>
      <w:lvlText w:val=""/>
      <w:lvlJc w:val="left"/>
      <w:pPr>
        <w:ind w:left="720" w:hanging="360"/>
      </w:pPr>
      <w:rPr>
        <w:rFonts w:ascii="Symbol" w:hAnsi="Symbol"/>
      </w:rPr>
    </w:lvl>
    <w:lvl w:ilvl="8" w:tplc="E40E6E1C">
      <w:start w:val="1"/>
      <w:numFmt w:val="bullet"/>
      <w:lvlText w:val=""/>
      <w:lvlJc w:val="left"/>
      <w:pPr>
        <w:ind w:left="720" w:hanging="360"/>
      </w:pPr>
      <w:rPr>
        <w:rFonts w:ascii="Symbol" w:hAnsi="Symbol"/>
      </w:rPr>
    </w:lvl>
  </w:abstractNum>
  <w:abstractNum w:abstractNumId="7" w15:restartNumberingAfterBreak="0">
    <w:nsid w:val="340B5110"/>
    <w:multiLevelType w:val="multilevel"/>
    <w:tmpl w:val="4760B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70715"/>
    <w:multiLevelType w:val="hybridMultilevel"/>
    <w:tmpl w:val="A20AE46E"/>
    <w:lvl w:ilvl="0" w:tplc="FAD09AF0">
      <w:start w:val="1"/>
      <w:numFmt w:val="bullet"/>
      <w:lvlText w:val=""/>
      <w:lvlJc w:val="left"/>
      <w:pPr>
        <w:ind w:left="720" w:hanging="360"/>
      </w:pPr>
      <w:rPr>
        <w:rFonts w:ascii="Symbol" w:hAnsi="Symbol"/>
      </w:rPr>
    </w:lvl>
    <w:lvl w:ilvl="1" w:tplc="6D3AA0FC">
      <w:start w:val="1"/>
      <w:numFmt w:val="bullet"/>
      <w:lvlText w:val=""/>
      <w:lvlJc w:val="left"/>
      <w:pPr>
        <w:ind w:left="720" w:hanging="360"/>
      </w:pPr>
      <w:rPr>
        <w:rFonts w:ascii="Symbol" w:hAnsi="Symbol"/>
      </w:rPr>
    </w:lvl>
    <w:lvl w:ilvl="2" w:tplc="80DCE676">
      <w:start w:val="1"/>
      <w:numFmt w:val="bullet"/>
      <w:lvlText w:val=""/>
      <w:lvlJc w:val="left"/>
      <w:pPr>
        <w:ind w:left="720" w:hanging="360"/>
      </w:pPr>
      <w:rPr>
        <w:rFonts w:ascii="Symbol" w:hAnsi="Symbol"/>
      </w:rPr>
    </w:lvl>
    <w:lvl w:ilvl="3" w:tplc="BD4E13CE">
      <w:start w:val="1"/>
      <w:numFmt w:val="bullet"/>
      <w:lvlText w:val=""/>
      <w:lvlJc w:val="left"/>
      <w:pPr>
        <w:ind w:left="720" w:hanging="360"/>
      </w:pPr>
      <w:rPr>
        <w:rFonts w:ascii="Symbol" w:hAnsi="Symbol"/>
      </w:rPr>
    </w:lvl>
    <w:lvl w:ilvl="4" w:tplc="12301D8C">
      <w:start w:val="1"/>
      <w:numFmt w:val="bullet"/>
      <w:lvlText w:val=""/>
      <w:lvlJc w:val="left"/>
      <w:pPr>
        <w:ind w:left="720" w:hanging="360"/>
      </w:pPr>
      <w:rPr>
        <w:rFonts w:ascii="Symbol" w:hAnsi="Symbol"/>
      </w:rPr>
    </w:lvl>
    <w:lvl w:ilvl="5" w:tplc="E8FE1668">
      <w:start w:val="1"/>
      <w:numFmt w:val="bullet"/>
      <w:lvlText w:val=""/>
      <w:lvlJc w:val="left"/>
      <w:pPr>
        <w:ind w:left="720" w:hanging="360"/>
      </w:pPr>
      <w:rPr>
        <w:rFonts w:ascii="Symbol" w:hAnsi="Symbol"/>
      </w:rPr>
    </w:lvl>
    <w:lvl w:ilvl="6" w:tplc="EB5244F4">
      <w:start w:val="1"/>
      <w:numFmt w:val="bullet"/>
      <w:lvlText w:val=""/>
      <w:lvlJc w:val="left"/>
      <w:pPr>
        <w:ind w:left="720" w:hanging="360"/>
      </w:pPr>
      <w:rPr>
        <w:rFonts w:ascii="Symbol" w:hAnsi="Symbol"/>
      </w:rPr>
    </w:lvl>
    <w:lvl w:ilvl="7" w:tplc="CBD2BB00">
      <w:start w:val="1"/>
      <w:numFmt w:val="bullet"/>
      <w:lvlText w:val=""/>
      <w:lvlJc w:val="left"/>
      <w:pPr>
        <w:ind w:left="720" w:hanging="360"/>
      </w:pPr>
      <w:rPr>
        <w:rFonts w:ascii="Symbol" w:hAnsi="Symbol"/>
      </w:rPr>
    </w:lvl>
    <w:lvl w:ilvl="8" w:tplc="70DC2A72">
      <w:start w:val="1"/>
      <w:numFmt w:val="bullet"/>
      <w:lvlText w:val=""/>
      <w:lvlJc w:val="left"/>
      <w:pPr>
        <w:ind w:left="720" w:hanging="360"/>
      </w:pPr>
      <w:rPr>
        <w:rFonts w:ascii="Symbol" w:hAnsi="Symbol"/>
      </w:rPr>
    </w:lvl>
  </w:abstractNum>
  <w:abstractNum w:abstractNumId="9" w15:restartNumberingAfterBreak="0">
    <w:nsid w:val="4AAC5FF7"/>
    <w:multiLevelType w:val="multilevel"/>
    <w:tmpl w:val="8D102E52"/>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i w:val="0"/>
        <w:iCs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50A04B3B"/>
    <w:multiLevelType w:val="multilevel"/>
    <w:tmpl w:val="B26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501DB"/>
    <w:multiLevelType w:val="multilevel"/>
    <w:tmpl w:val="AA98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F2CDE"/>
    <w:multiLevelType w:val="multilevel"/>
    <w:tmpl w:val="E4D459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FE85E1F"/>
    <w:multiLevelType w:val="multilevel"/>
    <w:tmpl w:val="12D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B3FA0"/>
    <w:multiLevelType w:val="hybridMultilevel"/>
    <w:tmpl w:val="183E5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89752">
    <w:abstractNumId w:val="9"/>
  </w:num>
  <w:num w:numId="2" w16cid:durableId="739451394">
    <w:abstractNumId w:val="0"/>
  </w:num>
  <w:num w:numId="3" w16cid:durableId="590047077">
    <w:abstractNumId w:val="0"/>
  </w:num>
  <w:num w:numId="4" w16cid:durableId="480578239">
    <w:abstractNumId w:val="0"/>
  </w:num>
  <w:num w:numId="5" w16cid:durableId="1938513917">
    <w:abstractNumId w:val="0"/>
  </w:num>
  <w:num w:numId="6" w16cid:durableId="1279531225">
    <w:abstractNumId w:val="0"/>
  </w:num>
  <w:num w:numId="7" w16cid:durableId="1454207272">
    <w:abstractNumId w:val="0"/>
  </w:num>
  <w:num w:numId="8" w16cid:durableId="1687125739">
    <w:abstractNumId w:val="0"/>
  </w:num>
  <w:num w:numId="9" w16cid:durableId="1484156070">
    <w:abstractNumId w:val="0"/>
  </w:num>
  <w:num w:numId="10" w16cid:durableId="2007858549">
    <w:abstractNumId w:val="0"/>
  </w:num>
  <w:num w:numId="11" w16cid:durableId="861673754">
    <w:abstractNumId w:val="0"/>
    <w:lvlOverride w:ilvl="0">
      <w:lvl w:ilvl="0">
        <w:start w:val="1"/>
        <w:numFmt w:val="decimal"/>
        <w:pStyle w:val="1"/>
        <w:lvlText w:val="%1."/>
        <w:legacy w:legacy="1" w:legacySpace="0" w:legacyIndent="0"/>
        <w:lvlJc w:val="left"/>
      </w:lvl>
    </w:lvlOverride>
    <w:lvlOverride w:ilvl="1">
      <w:lvl w:ilvl="1">
        <w:start w:val="1"/>
        <w:numFmt w:val="decimal"/>
        <w:pStyle w:val="2"/>
        <w:lvlText w:val="%1.%2"/>
        <w:legacy w:legacy="1" w:legacySpace="144" w:legacyIndent="0"/>
        <w:lvlJc w:val="left"/>
      </w:lvl>
    </w:lvlOverride>
    <w:lvlOverride w:ilvl="2">
      <w:lvl w:ilvl="2">
        <w:start w:val="1"/>
        <w:numFmt w:val="decimal"/>
        <w:pStyle w:val="3"/>
        <w:lvlText w:val="%1.%2.%3"/>
        <w:legacy w:legacy="1" w:legacySpace="144" w:legacyIndent="0"/>
        <w:lvlJc w:val="left"/>
      </w:lvl>
    </w:lvlOverride>
    <w:lvlOverride w:ilvl="3">
      <w:lvl w:ilvl="3">
        <w:start w:val="1"/>
        <w:numFmt w:val="decimal"/>
        <w:pStyle w:val="4"/>
        <w:lvlText w:val="%1.%2.%3.%4"/>
        <w:legacy w:legacy="1" w:legacySpace="144" w:legacyIndent="0"/>
        <w:lvlJc w:val="left"/>
      </w:lvl>
    </w:lvlOverride>
    <w:lvlOverride w:ilvl="4">
      <w:lvl w:ilvl="4">
        <w:start w:val="1"/>
        <w:numFmt w:val="decimal"/>
        <w:pStyle w:val="5"/>
        <w:lvlText w:val="%1.%2.%3.%4.%5"/>
        <w:legacy w:legacy="1" w:legacySpace="144" w:legacyIndent="0"/>
        <w:lvlJc w:val="left"/>
      </w:lvl>
    </w:lvlOverride>
    <w:lvlOverride w:ilvl="5">
      <w:lvl w:ilvl="5">
        <w:start w:val="1"/>
        <w:numFmt w:val="decimal"/>
        <w:pStyle w:val="6"/>
        <w:lvlText w:val="%1.%2.%3.%4.%5.%6"/>
        <w:legacy w:legacy="1" w:legacySpace="144" w:legacyIndent="0"/>
        <w:lvlJc w:val="left"/>
      </w:lvl>
    </w:lvlOverride>
    <w:lvlOverride w:ilvl="6">
      <w:lvl w:ilvl="6">
        <w:start w:val="1"/>
        <w:numFmt w:val="decimal"/>
        <w:pStyle w:val="7"/>
        <w:lvlText w:val="%1.%2.%3.%4.%5.%6.%7"/>
        <w:legacy w:legacy="1" w:legacySpace="144" w:legacyIndent="0"/>
        <w:lvlJc w:val="left"/>
      </w:lvl>
    </w:lvlOverride>
    <w:lvlOverride w:ilvl="7">
      <w:lvl w:ilvl="7">
        <w:start w:val="1"/>
        <w:numFmt w:val="decimal"/>
        <w:pStyle w:val="8"/>
        <w:lvlText w:val="%1.%2.%3.%4.%5.%6.%7.%8"/>
        <w:legacy w:legacy="1" w:legacySpace="144" w:legacyIndent="0"/>
        <w:lvlJc w:val="left"/>
      </w:lvl>
    </w:lvlOverride>
    <w:lvlOverride w:ilvl="8">
      <w:lvl w:ilvl="8">
        <w:start w:val="1"/>
        <w:numFmt w:val="decimal"/>
        <w:pStyle w:val="9"/>
        <w:lvlText w:val="%1.%2.%3.%4.%5.%6.%7.%8.%9"/>
        <w:legacy w:legacy="1" w:legacySpace="144" w:legacyIndent="0"/>
        <w:lvlJc w:val="left"/>
      </w:lvl>
    </w:lvlOverride>
  </w:num>
  <w:num w:numId="12" w16cid:durableId="723066092">
    <w:abstractNumId w:val="10"/>
  </w:num>
  <w:num w:numId="13" w16cid:durableId="1647202986">
    <w:abstractNumId w:val="4"/>
  </w:num>
  <w:num w:numId="14" w16cid:durableId="1243831255">
    <w:abstractNumId w:val="13"/>
  </w:num>
  <w:num w:numId="15" w16cid:durableId="1958872509">
    <w:abstractNumId w:val="0"/>
  </w:num>
  <w:num w:numId="16" w16cid:durableId="1117413754">
    <w:abstractNumId w:val="0"/>
  </w:num>
  <w:num w:numId="17" w16cid:durableId="441651871">
    <w:abstractNumId w:val="0"/>
  </w:num>
  <w:num w:numId="18" w16cid:durableId="1053503951">
    <w:abstractNumId w:val="8"/>
  </w:num>
  <w:num w:numId="19" w16cid:durableId="668799915">
    <w:abstractNumId w:val="6"/>
  </w:num>
  <w:num w:numId="20" w16cid:durableId="1496609505">
    <w:abstractNumId w:val="2"/>
  </w:num>
  <w:num w:numId="21" w16cid:durableId="61174060">
    <w:abstractNumId w:val="0"/>
  </w:num>
  <w:num w:numId="22" w16cid:durableId="1249464679">
    <w:abstractNumId w:val="0"/>
  </w:num>
  <w:num w:numId="23" w16cid:durableId="428546408">
    <w:abstractNumId w:val="0"/>
  </w:num>
  <w:num w:numId="24" w16cid:durableId="845903084">
    <w:abstractNumId w:val="0"/>
  </w:num>
  <w:num w:numId="25" w16cid:durableId="1949701710">
    <w:abstractNumId w:val="0"/>
  </w:num>
  <w:num w:numId="26" w16cid:durableId="194999129">
    <w:abstractNumId w:val="0"/>
    <w:lvlOverride w:ilvl="0">
      <w:startOverride w:val="5"/>
    </w:lvlOverride>
    <w:lvlOverride w:ilvl="1">
      <w:startOverride w:val="5"/>
    </w:lvlOverride>
  </w:num>
  <w:num w:numId="27" w16cid:durableId="2051608343">
    <w:abstractNumId w:val="7"/>
  </w:num>
  <w:num w:numId="28" w16cid:durableId="303631319">
    <w:abstractNumId w:val="12"/>
  </w:num>
  <w:num w:numId="29" w16cid:durableId="1949121456">
    <w:abstractNumId w:val="1"/>
  </w:num>
  <w:num w:numId="30" w16cid:durableId="1152408759">
    <w:abstractNumId w:val="0"/>
  </w:num>
  <w:num w:numId="31" w16cid:durableId="582956120">
    <w:abstractNumId w:val="3"/>
  </w:num>
  <w:num w:numId="32" w16cid:durableId="6644100">
    <w:abstractNumId w:val="0"/>
  </w:num>
  <w:num w:numId="33" w16cid:durableId="820078216">
    <w:abstractNumId w:val="5"/>
  </w:num>
  <w:num w:numId="34" w16cid:durableId="1376739534">
    <w:abstractNumId w:val="11"/>
  </w:num>
  <w:num w:numId="35" w16cid:durableId="1543902033">
    <w:abstractNumId w:val="0"/>
  </w:num>
  <w:num w:numId="36" w16cid:durableId="18707511">
    <w:abstractNumId w:val="14"/>
  </w:num>
  <w:num w:numId="37" w16cid:durableId="369958226">
    <w:abstractNumId w:val="0"/>
    <w:lvlOverride w:ilvl="0">
      <w:startOverride w:val="7"/>
    </w:lvlOverride>
    <w:lvlOverride w:ilvl="1">
      <w:startOverride w:val="3"/>
    </w:lvlOverride>
  </w:num>
  <w:num w:numId="38" w16cid:durableId="1519151360">
    <w:abstractNumId w:val="0"/>
  </w:num>
  <w:num w:numId="39" w16cid:durableId="428165676">
    <w:abstractNumId w:val="0"/>
  </w:num>
  <w:num w:numId="40" w16cid:durableId="540091693">
    <w:abstractNumId w:val="0"/>
    <w:lvlOverride w:ilvl="0">
      <w:startOverride w:val="1"/>
    </w:lvlOverride>
    <w:lvlOverride w:ilvl="1">
      <w:startOverride w:val="7"/>
    </w:lvlOverride>
  </w:num>
  <w:num w:numId="41" w16cid:durableId="396786367">
    <w:abstractNumId w:val="0"/>
    <w:lvlOverride w:ilvl="0">
      <w:startOverride w:val="1"/>
    </w:lvlOverride>
    <w:lvlOverride w:ilvl="1">
      <w:startOverride w:val="9"/>
    </w:lvlOverride>
  </w:num>
  <w:num w:numId="42" w16cid:durableId="171187025">
    <w:abstractNumId w:val="0"/>
  </w:num>
  <w:num w:numId="43" w16cid:durableId="2006739085">
    <w:abstractNumId w:val="0"/>
  </w:num>
  <w:num w:numId="44" w16cid:durableId="509562260">
    <w:abstractNumId w:val="0"/>
  </w:num>
  <w:num w:numId="45" w16cid:durableId="388266695">
    <w:abstractNumId w:val="0"/>
  </w:num>
  <w:num w:numId="46" w16cid:durableId="1202212214">
    <w:abstractNumId w:val="0"/>
  </w:num>
  <w:num w:numId="47" w16cid:durableId="2135784220">
    <w:abstractNumId w:val="0"/>
  </w:num>
  <w:num w:numId="48" w16cid:durableId="1518470804">
    <w:abstractNumId w:val="0"/>
  </w:num>
  <w:num w:numId="49" w16cid:durableId="751321716">
    <w:abstractNumId w:val="0"/>
  </w:num>
  <w:num w:numId="50" w16cid:durableId="543980471">
    <w:abstractNumId w:val="0"/>
  </w:num>
  <w:num w:numId="51" w16cid:durableId="200047779">
    <w:abstractNumId w:val="0"/>
  </w:num>
  <w:num w:numId="52" w16cid:durableId="143938430">
    <w:abstractNumId w:val="0"/>
  </w:num>
  <w:num w:numId="53" w16cid:durableId="631134785">
    <w:abstractNumId w:val="0"/>
  </w:num>
  <w:num w:numId="54" w16cid:durableId="103378891">
    <w:abstractNumId w:val="0"/>
  </w:num>
  <w:num w:numId="55" w16cid:durableId="76362470">
    <w:abstractNumId w:val="0"/>
  </w:num>
  <w:num w:numId="56" w16cid:durableId="613833185">
    <w:abstractNumId w:val="0"/>
  </w:num>
  <w:num w:numId="57" w16cid:durableId="882013346">
    <w:abstractNumId w:val="0"/>
  </w:num>
  <w:num w:numId="58" w16cid:durableId="1838037740">
    <w:abstractNumId w:val="0"/>
  </w:num>
  <w:num w:numId="59" w16cid:durableId="1700815434">
    <w:abstractNumId w:val="0"/>
  </w:num>
  <w:num w:numId="60" w16cid:durableId="1500583961">
    <w:abstractNumId w:val="0"/>
  </w:num>
  <w:num w:numId="61" w16cid:durableId="1100293521">
    <w:abstractNumId w:val="0"/>
  </w:num>
  <w:num w:numId="62" w16cid:durableId="1777559561">
    <w:abstractNumId w:val="0"/>
  </w:num>
  <w:num w:numId="63" w16cid:durableId="343096220">
    <w:abstractNumId w:val="0"/>
  </w:num>
  <w:num w:numId="64" w16cid:durableId="1258949159">
    <w:abstractNumId w:val="0"/>
  </w:num>
  <w:num w:numId="65" w16cid:durableId="1105341555">
    <w:abstractNumId w:val="0"/>
  </w:num>
  <w:num w:numId="66" w16cid:durableId="2016767192">
    <w:abstractNumId w:val="0"/>
  </w:num>
  <w:num w:numId="67" w16cid:durableId="2101750198">
    <w:abstractNumId w:val="0"/>
  </w:num>
  <w:num w:numId="68" w16cid:durableId="1228613059">
    <w:abstractNumId w:val="0"/>
  </w:num>
  <w:num w:numId="69" w16cid:durableId="1306158252">
    <w:abstractNumId w:val="0"/>
  </w:num>
  <w:num w:numId="70" w16cid:durableId="982193065">
    <w:abstractNumId w:val="0"/>
  </w:num>
  <w:num w:numId="71" w16cid:durableId="1640837660">
    <w:abstractNumId w:val="0"/>
  </w:num>
  <w:num w:numId="72" w16cid:durableId="1784225264">
    <w:abstractNumId w:val="0"/>
  </w:num>
  <w:num w:numId="73" w16cid:durableId="1447656310">
    <w:abstractNumId w:val="0"/>
  </w:num>
  <w:num w:numId="74" w16cid:durableId="507670956">
    <w:abstractNumId w:val="0"/>
  </w:num>
  <w:num w:numId="75" w16cid:durableId="383258460">
    <w:abstractNumId w:val="0"/>
  </w:num>
  <w:num w:numId="76" w16cid:durableId="1995915268">
    <w:abstractNumId w:val="0"/>
  </w:num>
  <w:num w:numId="77" w16cid:durableId="1734306577">
    <w:abstractNumId w:val="0"/>
  </w:num>
  <w:num w:numId="78" w16cid:durableId="2115513784">
    <w:abstractNumId w:val="0"/>
  </w:num>
  <w:num w:numId="79" w16cid:durableId="69741774">
    <w:abstractNumId w:val="0"/>
  </w:num>
  <w:num w:numId="80" w16cid:durableId="649603596">
    <w:abstractNumId w:val="0"/>
  </w:num>
  <w:num w:numId="81" w16cid:durableId="1487360912">
    <w:abstractNumId w:val="0"/>
  </w:num>
  <w:num w:numId="82" w16cid:durableId="1121455440">
    <w:abstractNumId w:val="0"/>
  </w:num>
  <w:num w:numId="83" w16cid:durableId="674957691">
    <w:abstractNumId w:val="0"/>
  </w:num>
  <w:num w:numId="84" w16cid:durableId="2095735215">
    <w:abstractNumId w:val="0"/>
  </w:num>
  <w:num w:numId="85" w16cid:durableId="1789936457">
    <w:abstractNumId w:val="0"/>
  </w:num>
  <w:num w:numId="86" w16cid:durableId="2081832484">
    <w:abstractNumId w:val="0"/>
  </w:num>
  <w:num w:numId="87" w16cid:durableId="1840542787">
    <w:abstractNumId w:val="0"/>
  </w:num>
  <w:num w:numId="88" w16cid:durableId="1193613331">
    <w:abstractNumId w:val="0"/>
  </w:num>
  <w:num w:numId="89" w16cid:durableId="566837834">
    <w:abstractNumId w:val="0"/>
  </w:num>
  <w:num w:numId="90" w16cid:durableId="929508226">
    <w:abstractNumId w:val="0"/>
  </w:num>
  <w:num w:numId="91" w16cid:durableId="146939430">
    <w:abstractNumId w:val="0"/>
  </w:num>
  <w:num w:numId="92" w16cid:durableId="780028152">
    <w:abstractNumId w:val="0"/>
  </w:num>
  <w:num w:numId="93" w16cid:durableId="572816115">
    <w:abstractNumId w:val="0"/>
  </w:num>
  <w:num w:numId="94" w16cid:durableId="1994986102">
    <w:abstractNumId w:val="0"/>
  </w:num>
  <w:num w:numId="95" w16cid:durableId="1141506970">
    <w:abstractNumId w:val="0"/>
  </w:num>
  <w:num w:numId="96" w16cid:durableId="367487208">
    <w:abstractNumId w:val="0"/>
  </w:num>
  <w:num w:numId="97" w16cid:durableId="1530215024">
    <w:abstractNumId w:val="0"/>
  </w:num>
  <w:num w:numId="98" w16cid:durableId="332533220">
    <w:abstractNumId w:val="0"/>
  </w:num>
  <w:num w:numId="99" w16cid:durableId="1115174088">
    <w:abstractNumId w:val="0"/>
  </w:num>
  <w:num w:numId="100" w16cid:durableId="1285841684">
    <w:abstractNumId w:val="0"/>
  </w:num>
  <w:num w:numId="101" w16cid:durableId="1374304165">
    <w:abstractNumId w:val="0"/>
  </w:num>
  <w:num w:numId="102" w16cid:durableId="824904670">
    <w:abstractNumId w:val="0"/>
  </w:num>
  <w:num w:numId="103" w16cid:durableId="696006031">
    <w:abstractNumId w:val="0"/>
  </w:num>
  <w:num w:numId="104" w16cid:durableId="1176534463">
    <w:abstractNumId w:val="0"/>
  </w:num>
  <w:num w:numId="105" w16cid:durableId="680549477">
    <w:abstractNumId w:val="0"/>
  </w:num>
  <w:num w:numId="106" w16cid:durableId="351994632">
    <w:abstractNumId w:val="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F4"/>
    <w:rsid w:val="00001205"/>
    <w:rsid w:val="00004BE8"/>
    <w:rsid w:val="00005C25"/>
    <w:rsid w:val="00006A44"/>
    <w:rsid w:val="000072B0"/>
    <w:rsid w:val="00011DBD"/>
    <w:rsid w:val="00013591"/>
    <w:rsid w:val="0001388C"/>
    <w:rsid w:val="00015022"/>
    <w:rsid w:val="00016B9F"/>
    <w:rsid w:val="00020ECD"/>
    <w:rsid w:val="000265F3"/>
    <w:rsid w:val="000279A3"/>
    <w:rsid w:val="00030095"/>
    <w:rsid w:val="00035B9F"/>
    <w:rsid w:val="00043458"/>
    <w:rsid w:val="00046192"/>
    <w:rsid w:val="00047E51"/>
    <w:rsid w:val="000502D4"/>
    <w:rsid w:val="00057447"/>
    <w:rsid w:val="00071391"/>
    <w:rsid w:val="0007397F"/>
    <w:rsid w:val="00074050"/>
    <w:rsid w:val="00075E6E"/>
    <w:rsid w:val="00075F33"/>
    <w:rsid w:val="000828FC"/>
    <w:rsid w:val="00083786"/>
    <w:rsid w:val="000837C3"/>
    <w:rsid w:val="00085D30"/>
    <w:rsid w:val="000922A6"/>
    <w:rsid w:val="00095788"/>
    <w:rsid w:val="000A5A92"/>
    <w:rsid w:val="000B067B"/>
    <w:rsid w:val="000B1A49"/>
    <w:rsid w:val="000B2523"/>
    <w:rsid w:val="000C09EA"/>
    <w:rsid w:val="000C14D4"/>
    <w:rsid w:val="000C52E4"/>
    <w:rsid w:val="000C5CD0"/>
    <w:rsid w:val="000C6825"/>
    <w:rsid w:val="000D65DC"/>
    <w:rsid w:val="000E0372"/>
    <w:rsid w:val="000E0B8A"/>
    <w:rsid w:val="000F0052"/>
    <w:rsid w:val="000F4293"/>
    <w:rsid w:val="000F47BF"/>
    <w:rsid w:val="000F65FA"/>
    <w:rsid w:val="000F7226"/>
    <w:rsid w:val="001016E5"/>
    <w:rsid w:val="00103D47"/>
    <w:rsid w:val="001054E4"/>
    <w:rsid w:val="00105F40"/>
    <w:rsid w:val="00106250"/>
    <w:rsid w:val="0011083F"/>
    <w:rsid w:val="00116536"/>
    <w:rsid w:val="00131912"/>
    <w:rsid w:val="00147FBD"/>
    <w:rsid w:val="00152247"/>
    <w:rsid w:val="001625BE"/>
    <w:rsid w:val="001717A3"/>
    <w:rsid w:val="00173AA9"/>
    <w:rsid w:val="00176335"/>
    <w:rsid w:val="00177451"/>
    <w:rsid w:val="00180087"/>
    <w:rsid w:val="00180A68"/>
    <w:rsid w:val="00180E3D"/>
    <w:rsid w:val="001851B2"/>
    <w:rsid w:val="00192452"/>
    <w:rsid w:val="001925E8"/>
    <w:rsid w:val="0019641D"/>
    <w:rsid w:val="001977CD"/>
    <w:rsid w:val="001A1701"/>
    <w:rsid w:val="001A1EFC"/>
    <w:rsid w:val="001B5D76"/>
    <w:rsid w:val="001B64C3"/>
    <w:rsid w:val="001C0BF3"/>
    <w:rsid w:val="001C6035"/>
    <w:rsid w:val="001D160F"/>
    <w:rsid w:val="001D1D39"/>
    <w:rsid w:val="001D2054"/>
    <w:rsid w:val="001D2B18"/>
    <w:rsid w:val="001D2C60"/>
    <w:rsid w:val="001D7E68"/>
    <w:rsid w:val="001E38D4"/>
    <w:rsid w:val="001E43A7"/>
    <w:rsid w:val="001E7A43"/>
    <w:rsid w:val="001F4D15"/>
    <w:rsid w:val="001F670F"/>
    <w:rsid w:val="002002A8"/>
    <w:rsid w:val="00202746"/>
    <w:rsid w:val="002030A1"/>
    <w:rsid w:val="00204E28"/>
    <w:rsid w:val="002128D1"/>
    <w:rsid w:val="00213CEC"/>
    <w:rsid w:val="00220FB9"/>
    <w:rsid w:val="00224169"/>
    <w:rsid w:val="00224D61"/>
    <w:rsid w:val="00225D29"/>
    <w:rsid w:val="0023227C"/>
    <w:rsid w:val="00246348"/>
    <w:rsid w:val="002477DE"/>
    <w:rsid w:val="00257B62"/>
    <w:rsid w:val="002632F4"/>
    <w:rsid w:val="00264E40"/>
    <w:rsid w:val="00283321"/>
    <w:rsid w:val="0028659A"/>
    <w:rsid w:val="0029092C"/>
    <w:rsid w:val="00296DB5"/>
    <w:rsid w:val="002A0CA6"/>
    <w:rsid w:val="002A385A"/>
    <w:rsid w:val="002A4319"/>
    <w:rsid w:val="002A4383"/>
    <w:rsid w:val="002A4426"/>
    <w:rsid w:val="002A527B"/>
    <w:rsid w:val="002C1A72"/>
    <w:rsid w:val="002C43BD"/>
    <w:rsid w:val="002C5233"/>
    <w:rsid w:val="002C6E67"/>
    <w:rsid w:val="002C7B77"/>
    <w:rsid w:val="002D09E9"/>
    <w:rsid w:val="002D64A3"/>
    <w:rsid w:val="002E11FA"/>
    <w:rsid w:val="002E32EB"/>
    <w:rsid w:val="002E36BF"/>
    <w:rsid w:val="002E4FFC"/>
    <w:rsid w:val="002E6111"/>
    <w:rsid w:val="003143BC"/>
    <w:rsid w:val="00323026"/>
    <w:rsid w:val="00327683"/>
    <w:rsid w:val="00331BC1"/>
    <w:rsid w:val="00331F20"/>
    <w:rsid w:val="00333676"/>
    <w:rsid w:val="00333AAF"/>
    <w:rsid w:val="003353BC"/>
    <w:rsid w:val="0033591A"/>
    <w:rsid w:val="00342617"/>
    <w:rsid w:val="0034360F"/>
    <w:rsid w:val="00343779"/>
    <w:rsid w:val="00343CA6"/>
    <w:rsid w:val="0034781B"/>
    <w:rsid w:val="00350C85"/>
    <w:rsid w:val="003526BC"/>
    <w:rsid w:val="00355E82"/>
    <w:rsid w:val="00364A18"/>
    <w:rsid w:val="00367240"/>
    <w:rsid w:val="0036735D"/>
    <w:rsid w:val="003748CC"/>
    <w:rsid w:val="00374A1F"/>
    <w:rsid w:val="00383B08"/>
    <w:rsid w:val="003841BA"/>
    <w:rsid w:val="00387ED3"/>
    <w:rsid w:val="003917AB"/>
    <w:rsid w:val="00394139"/>
    <w:rsid w:val="00394460"/>
    <w:rsid w:val="00394FB5"/>
    <w:rsid w:val="00396D7C"/>
    <w:rsid w:val="003A1B37"/>
    <w:rsid w:val="003B1853"/>
    <w:rsid w:val="003B1AD4"/>
    <w:rsid w:val="003B5121"/>
    <w:rsid w:val="003B7F93"/>
    <w:rsid w:val="003C1173"/>
    <w:rsid w:val="003C1AE8"/>
    <w:rsid w:val="003C4C03"/>
    <w:rsid w:val="003C5176"/>
    <w:rsid w:val="003C5C34"/>
    <w:rsid w:val="003C6F7E"/>
    <w:rsid w:val="003D5644"/>
    <w:rsid w:val="003D6DE3"/>
    <w:rsid w:val="003E59A1"/>
    <w:rsid w:val="003E720F"/>
    <w:rsid w:val="004013E3"/>
    <w:rsid w:val="00403FC8"/>
    <w:rsid w:val="004040BA"/>
    <w:rsid w:val="0041658E"/>
    <w:rsid w:val="00421270"/>
    <w:rsid w:val="00435846"/>
    <w:rsid w:val="00440176"/>
    <w:rsid w:val="00452A52"/>
    <w:rsid w:val="004545B7"/>
    <w:rsid w:val="00464CBD"/>
    <w:rsid w:val="00465242"/>
    <w:rsid w:val="00470865"/>
    <w:rsid w:val="004772FB"/>
    <w:rsid w:val="00484A8C"/>
    <w:rsid w:val="00484C3B"/>
    <w:rsid w:val="00487B4A"/>
    <w:rsid w:val="00494793"/>
    <w:rsid w:val="0049737C"/>
    <w:rsid w:val="0049799E"/>
    <w:rsid w:val="00497E88"/>
    <w:rsid w:val="004A05C8"/>
    <w:rsid w:val="004A1B46"/>
    <w:rsid w:val="004A4F12"/>
    <w:rsid w:val="004A6B34"/>
    <w:rsid w:val="004B11F5"/>
    <w:rsid w:val="004B1B3B"/>
    <w:rsid w:val="004B281B"/>
    <w:rsid w:val="004B3CED"/>
    <w:rsid w:val="004C380E"/>
    <w:rsid w:val="004C730E"/>
    <w:rsid w:val="004C7429"/>
    <w:rsid w:val="004D163B"/>
    <w:rsid w:val="004E2EEF"/>
    <w:rsid w:val="004F189F"/>
    <w:rsid w:val="004F7932"/>
    <w:rsid w:val="00501F78"/>
    <w:rsid w:val="0051789A"/>
    <w:rsid w:val="00520121"/>
    <w:rsid w:val="00520CD6"/>
    <w:rsid w:val="00522D11"/>
    <w:rsid w:val="0052322F"/>
    <w:rsid w:val="005307CF"/>
    <w:rsid w:val="0053221D"/>
    <w:rsid w:val="00535717"/>
    <w:rsid w:val="00541297"/>
    <w:rsid w:val="00542CA4"/>
    <w:rsid w:val="00543008"/>
    <w:rsid w:val="005438CF"/>
    <w:rsid w:val="005441F5"/>
    <w:rsid w:val="005444F5"/>
    <w:rsid w:val="00550848"/>
    <w:rsid w:val="00556BB3"/>
    <w:rsid w:val="005628FD"/>
    <w:rsid w:val="0056473E"/>
    <w:rsid w:val="00567837"/>
    <w:rsid w:val="005717FE"/>
    <w:rsid w:val="0057251F"/>
    <w:rsid w:val="005734F2"/>
    <w:rsid w:val="005768D9"/>
    <w:rsid w:val="005809C2"/>
    <w:rsid w:val="00581E16"/>
    <w:rsid w:val="00583A49"/>
    <w:rsid w:val="005953F9"/>
    <w:rsid w:val="005964DC"/>
    <w:rsid w:val="00597887"/>
    <w:rsid w:val="005A3B48"/>
    <w:rsid w:val="005A3BEE"/>
    <w:rsid w:val="005A4011"/>
    <w:rsid w:val="005A5CDE"/>
    <w:rsid w:val="005A782E"/>
    <w:rsid w:val="005B0609"/>
    <w:rsid w:val="005B1163"/>
    <w:rsid w:val="005C3A36"/>
    <w:rsid w:val="005D4377"/>
    <w:rsid w:val="005E27D4"/>
    <w:rsid w:val="005E2FC5"/>
    <w:rsid w:val="005E47FF"/>
    <w:rsid w:val="005F7867"/>
    <w:rsid w:val="00600DD7"/>
    <w:rsid w:val="00606614"/>
    <w:rsid w:val="00624603"/>
    <w:rsid w:val="006260A2"/>
    <w:rsid w:val="006355BF"/>
    <w:rsid w:val="00636D23"/>
    <w:rsid w:val="00640FCC"/>
    <w:rsid w:val="0064416B"/>
    <w:rsid w:val="00671F89"/>
    <w:rsid w:val="00677E11"/>
    <w:rsid w:val="0068301E"/>
    <w:rsid w:val="00693C75"/>
    <w:rsid w:val="00695608"/>
    <w:rsid w:val="006A000B"/>
    <w:rsid w:val="006A26C0"/>
    <w:rsid w:val="006C4033"/>
    <w:rsid w:val="006C6501"/>
    <w:rsid w:val="006C7072"/>
    <w:rsid w:val="006D39E7"/>
    <w:rsid w:val="006D69AE"/>
    <w:rsid w:val="006E413B"/>
    <w:rsid w:val="006E5444"/>
    <w:rsid w:val="006F03EF"/>
    <w:rsid w:val="006F0B1F"/>
    <w:rsid w:val="006F29FD"/>
    <w:rsid w:val="006F3D39"/>
    <w:rsid w:val="006F7D42"/>
    <w:rsid w:val="00700D2C"/>
    <w:rsid w:val="00702373"/>
    <w:rsid w:val="00705517"/>
    <w:rsid w:val="00705F2F"/>
    <w:rsid w:val="00710514"/>
    <w:rsid w:val="00712DD4"/>
    <w:rsid w:val="0071562B"/>
    <w:rsid w:val="0071627F"/>
    <w:rsid w:val="007232DC"/>
    <w:rsid w:val="00725DEE"/>
    <w:rsid w:val="00734E70"/>
    <w:rsid w:val="00741A89"/>
    <w:rsid w:val="00743B51"/>
    <w:rsid w:val="007464BF"/>
    <w:rsid w:val="00747EE8"/>
    <w:rsid w:val="0075458B"/>
    <w:rsid w:val="00760C83"/>
    <w:rsid w:val="0076163E"/>
    <w:rsid w:val="00762ACD"/>
    <w:rsid w:val="007659B4"/>
    <w:rsid w:val="00766747"/>
    <w:rsid w:val="00772860"/>
    <w:rsid w:val="00781A64"/>
    <w:rsid w:val="007854EF"/>
    <w:rsid w:val="00785CB6"/>
    <w:rsid w:val="00797C07"/>
    <w:rsid w:val="007A18F6"/>
    <w:rsid w:val="007A3064"/>
    <w:rsid w:val="007C6F6B"/>
    <w:rsid w:val="007D2062"/>
    <w:rsid w:val="007D301F"/>
    <w:rsid w:val="007E014B"/>
    <w:rsid w:val="007E0AE4"/>
    <w:rsid w:val="007E4D66"/>
    <w:rsid w:val="007E5402"/>
    <w:rsid w:val="007E6961"/>
    <w:rsid w:val="007F5237"/>
    <w:rsid w:val="007F7BA8"/>
    <w:rsid w:val="00802404"/>
    <w:rsid w:val="00807198"/>
    <w:rsid w:val="0081473F"/>
    <w:rsid w:val="00816639"/>
    <w:rsid w:val="008247D2"/>
    <w:rsid w:val="00824E10"/>
    <w:rsid w:val="008273BD"/>
    <w:rsid w:val="008275AF"/>
    <w:rsid w:val="008346DE"/>
    <w:rsid w:val="00835BA7"/>
    <w:rsid w:val="00836904"/>
    <w:rsid w:val="008371F8"/>
    <w:rsid w:val="0083744F"/>
    <w:rsid w:val="00851CF1"/>
    <w:rsid w:val="00852946"/>
    <w:rsid w:val="00855FF8"/>
    <w:rsid w:val="00860A94"/>
    <w:rsid w:val="00866CCB"/>
    <w:rsid w:val="00880F1B"/>
    <w:rsid w:val="00883473"/>
    <w:rsid w:val="008842F9"/>
    <w:rsid w:val="008867D7"/>
    <w:rsid w:val="008A0D1D"/>
    <w:rsid w:val="008B3DA6"/>
    <w:rsid w:val="008B4529"/>
    <w:rsid w:val="008C14FA"/>
    <w:rsid w:val="008C2E3A"/>
    <w:rsid w:val="008C5FC9"/>
    <w:rsid w:val="008D25A3"/>
    <w:rsid w:val="008D569B"/>
    <w:rsid w:val="008E2608"/>
    <w:rsid w:val="008F0745"/>
    <w:rsid w:val="008F2983"/>
    <w:rsid w:val="00910234"/>
    <w:rsid w:val="009205DF"/>
    <w:rsid w:val="00953E72"/>
    <w:rsid w:val="0096351F"/>
    <w:rsid w:val="00980A50"/>
    <w:rsid w:val="00983E25"/>
    <w:rsid w:val="00986320"/>
    <w:rsid w:val="00990187"/>
    <w:rsid w:val="0099043A"/>
    <w:rsid w:val="009B08EF"/>
    <w:rsid w:val="009B1475"/>
    <w:rsid w:val="009B1F4F"/>
    <w:rsid w:val="009B65DD"/>
    <w:rsid w:val="009C1EC0"/>
    <w:rsid w:val="009C5AD4"/>
    <w:rsid w:val="009C6CCC"/>
    <w:rsid w:val="009D16C6"/>
    <w:rsid w:val="009D3BBB"/>
    <w:rsid w:val="009D5E84"/>
    <w:rsid w:val="009D6A4C"/>
    <w:rsid w:val="009E7CDF"/>
    <w:rsid w:val="009F10B8"/>
    <w:rsid w:val="009F12BB"/>
    <w:rsid w:val="009F1FA7"/>
    <w:rsid w:val="009F22FE"/>
    <w:rsid w:val="009F48FB"/>
    <w:rsid w:val="009F5C09"/>
    <w:rsid w:val="00A04B4C"/>
    <w:rsid w:val="00A07896"/>
    <w:rsid w:val="00A1032E"/>
    <w:rsid w:val="00A1048B"/>
    <w:rsid w:val="00A12F82"/>
    <w:rsid w:val="00A13AD1"/>
    <w:rsid w:val="00A252F5"/>
    <w:rsid w:val="00A2656A"/>
    <w:rsid w:val="00A273EA"/>
    <w:rsid w:val="00A3175A"/>
    <w:rsid w:val="00A33591"/>
    <w:rsid w:val="00A34CB7"/>
    <w:rsid w:val="00A427B8"/>
    <w:rsid w:val="00A433D4"/>
    <w:rsid w:val="00A43E26"/>
    <w:rsid w:val="00A45C98"/>
    <w:rsid w:val="00A467D3"/>
    <w:rsid w:val="00A468A7"/>
    <w:rsid w:val="00A502C2"/>
    <w:rsid w:val="00A5393E"/>
    <w:rsid w:val="00A575D8"/>
    <w:rsid w:val="00A613E3"/>
    <w:rsid w:val="00A618BD"/>
    <w:rsid w:val="00A61AC6"/>
    <w:rsid w:val="00A63956"/>
    <w:rsid w:val="00A652BD"/>
    <w:rsid w:val="00A67025"/>
    <w:rsid w:val="00A70124"/>
    <w:rsid w:val="00A74948"/>
    <w:rsid w:val="00A811A4"/>
    <w:rsid w:val="00A83063"/>
    <w:rsid w:val="00A93259"/>
    <w:rsid w:val="00A94CE1"/>
    <w:rsid w:val="00A96FC5"/>
    <w:rsid w:val="00AA067D"/>
    <w:rsid w:val="00AA0A20"/>
    <w:rsid w:val="00AA18F5"/>
    <w:rsid w:val="00AA3FBC"/>
    <w:rsid w:val="00AB01AE"/>
    <w:rsid w:val="00AB18BA"/>
    <w:rsid w:val="00AB1BE5"/>
    <w:rsid w:val="00AB38C1"/>
    <w:rsid w:val="00AB49E6"/>
    <w:rsid w:val="00AB5D0E"/>
    <w:rsid w:val="00AC095E"/>
    <w:rsid w:val="00AD0625"/>
    <w:rsid w:val="00AD1981"/>
    <w:rsid w:val="00AD2895"/>
    <w:rsid w:val="00AD29EC"/>
    <w:rsid w:val="00AD3105"/>
    <w:rsid w:val="00AD5F64"/>
    <w:rsid w:val="00AE0676"/>
    <w:rsid w:val="00AE3D0F"/>
    <w:rsid w:val="00AE6C94"/>
    <w:rsid w:val="00B01542"/>
    <w:rsid w:val="00B023E4"/>
    <w:rsid w:val="00B05303"/>
    <w:rsid w:val="00B10C3B"/>
    <w:rsid w:val="00B16DDD"/>
    <w:rsid w:val="00B20923"/>
    <w:rsid w:val="00B21D7C"/>
    <w:rsid w:val="00B225CE"/>
    <w:rsid w:val="00B2261A"/>
    <w:rsid w:val="00B26B55"/>
    <w:rsid w:val="00B318E1"/>
    <w:rsid w:val="00B32173"/>
    <w:rsid w:val="00B35009"/>
    <w:rsid w:val="00B36FD7"/>
    <w:rsid w:val="00B41AF4"/>
    <w:rsid w:val="00B46247"/>
    <w:rsid w:val="00B53499"/>
    <w:rsid w:val="00B62D0A"/>
    <w:rsid w:val="00B63A05"/>
    <w:rsid w:val="00B6672D"/>
    <w:rsid w:val="00B66FBD"/>
    <w:rsid w:val="00B674C0"/>
    <w:rsid w:val="00B6788B"/>
    <w:rsid w:val="00B74AE8"/>
    <w:rsid w:val="00B76A4F"/>
    <w:rsid w:val="00B825BF"/>
    <w:rsid w:val="00B83063"/>
    <w:rsid w:val="00B91FF8"/>
    <w:rsid w:val="00B9201A"/>
    <w:rsid w:val="00B92C30"/>
    <w:rsid w:val="00B93008"/>
    <w:rsid w:val="00B95F62"/>
    <w:rsid w:val="00BA0E40"/>
    <w:rsid w:val="00BA1DF7"/>
    <w:rsid w:val="00BA6021"/>
    <w:rsid w:val="00BB0D06"/>
    <w:rsid w:val="00BB2EFA"/>
    <w:rsid w:val="00BB5A06"/>
    <w:rsid w:val="00BC4278"/>
    <w:rsid w:val="00BC42D5"/>
    <w:rsid w:val="00BC4D4C"/>
    <w:rsid w:val="00BC69DA"/>
    <w:rsid w:val="00BC6AE3"/>
    <w:rsid w:val="00BD0050"/>
    <w:rsid w:val="00BE0CAB"/>
    <w:rsid w:val="00BE34D2"/>
    <w:rsid w:val="00BE5E5F"/>
    <w:rsid w:val="00BE62B6"/>
    <w:rsid w:val="00BE797D"/>
    <w:rsid w:val="00BF057C"/>
    <w:rsid w:val="00BF5F3D"/>
    <w:rsid w:val="00BF6904"/>
    <w:rsid w:val="00C02826"/>
    <w:rsid w:val="00C04725"/>
    <w:rsid w:val="00C062F4"/>
    <w:rsid w:val="00C07F6D"/>
    <w:rsid w:val="00C10675"/>
    <w:rsid w:val="00C240E1"/>
    <w:rsid w:val="00C24D92"/>
    <w:rsid w:val="00C32C50"/>
    <w:rsid w:val="00C34346"/>
    <w:rsid w:val="00C35322"/>
    <w:rsid w:val="00C436E6"/>
    <w:rsid w:val="00C512AE"/>
    <w:rsid w:val="00C5416D"/>
    <w:rsid w:val="00C6023D"/>
    <w:rsid w:val="00C6042C"/>
    <w:rsid w:val="00C61377"/>
    <w:rsid w:val="00C62814"/>
    <w:rsid w:val="00C63540"/>
    <w:rsid w:val="00C70086"/>
    <w:rsid w:val="00C705F2"/>
    <w:rsid w:val="00C7329A"/>
    <w:rsid w:val="00C75905"/>
    <w:rsid w:val="00C77AC9"/>
    <w:rsid w:val="00C90955"/>
    <w:rsid w:val="00CA0546"/>
    <w:rsid w:val="00CA2F5F"/>
    <w:rsid w:val="00CA4262"/>
    <w:rsid w:val="00CA514E"/>
    <w:rsid w:val="00CA7430"/>
    <w:rsid w:val="00CB57C0"/>
    <w:rsid w:val="00CC73E5"/>
    <w:rsid w:val="00CD3F98"/>
    <w:rsid w:val="00CD481D"/>
    <w:rsid w:val="00CE246E"/>
    <w:rsid w:val="00CE3AB4"/>
    <w:rsid w:val="00CE73CD"/>
    <w:rsid w:val="00CF7D0C"/>
    <w:rsid w:val="00D01496"/>
    <w:rsid w:val="00D01674"/>
    <w:rsid w:val="00D0494C"/>
    <w:rsid w:val="00D063D1"/>
    <w:rsid w:val="00D1165F"/>
    <w:rsid w:val="00D172E3"/>
    <w:rsid w:val="00D24E40"/>
    <w:rsid w:val="00D25DEA"/>
    <w:rsid w:val="00D26C45"/>
    <w:rsid w:val="00D33630"/>
    <w:rsid w:val="00D34D57"/>
    <w:rsid w:val="00D37196"/>
    <w:rsid w:val="00D42011"/>
    <w:rsid w:val="00D4569A"/>
    <w:rsid w:val="00D60B57"/>
    <w:rsid w:val="00D61E8D"/>
    <w:rsid w:val="00D674DA"/>
    <w:rsid w:val="00D70078"/>
    <w:rsid w:val="00D700F7"/>
    <w:rsid w:val="00D7202A"/>
    <w:rsid w:val="00D754F4"/>
    <w:rsid w:val="00D8570E"/>
    <w:rsid w:val="00D861D9"/>
    <w:rsid w:val="00D922D5"/>
    <w:rsid w:val="00D92856"/>
    <w:rsid w:val="00DA0129"/>
    <w:rsid w:val="00DA11FD"/>
    <w:rsid w:val="00DA1312"/>
    <w:rsid w:val="00DA5023"/>
    <w:rsid w:val="00DA5441"/>
    <w:rsid w:val="00DA6A31"/>
    <w:rsid w:val="00DB59F1"/>
    <w:rsid w:val="00DC03DA"/>
    <w:rsid w:val="00DC0905"/>
    <w:rsid w:val="00DC2558"/>
    <w:rsid w:val="00DD0454"/>
    <w:rsid w:val="00DD49E4"/>
    <w:rsid w:val="00DD67C3"/>
    <w:rsid w:val="00DE2637"/>
    <w:rsid w:val="00DE3A16"/>
    <w:rsid w:val="00DE52B5"/>
    <w:rsid w:val="00DF346D"/>
    <w:rsid w:val="00DF57C4"/>
    <w:rsid w:val="00DF7EA6"/>
    <w:rsid w:val="00E03598"/>
    <w:rsid w:val="00E046EE"/>
    <w:rsid w:val="00E13FFB"/>
    <w:rsid w:val="00E25240"/>
    <w:rsid w:val="00E2607D"/>
    <w:rsid w:val="00E50F86"/>
    <w:rsid w:val="00E5600F"/>
    <w:rsid w:val="00E56417"/>
    <w:rsid w:val="00E60766"/>
    <w:rsid w:val="00E63642"/>
    <w:rsid w:val="00E7123A"/>
    <w:rsid w:val="00E73DBC"/>
    <w:rsid w:val="00E7767F"/>
    <w:rsid w:val="00E80642"/>
    <w:rsid w:val="00E80BC9"/>
    <w:rsid w:val="00E86A23"/>
    <w:rsid w:val="00E90D6A"/>
    <w:rsid w:val="00E92A84"/>
    <w:rsid w:val="00E9380F"/>
    <w:rsid w:val="00EA1C66"/>
    <w:rsid w:val="00EA276B"/>
    <w:rsid w:val="00EA642C"/>
    <w:rsid w:val="00EA65AF"/>
    <w:rsid w:val="00EB781D"/>
    <w:rsid w:val="00EB7D9F"/>
    <w:rsid w:val="00EC5D4F"/>
    <w:rsid w:val="00EC7469"/>
    <w:rsid w:val="00ED18E3"/>
    <w:rsid w:val="00ED671F"/>
    <w:rsid w:val="00EE1760"/>
    <w:rsid w:val="00EE512B"/>
    <w:rsid w:val="00EF2121"/>
    <w:rsid w:val="00EF3B80"/>
    <w:rsid w:val="00EF4AAF"/>
    <w:rsid w:val="00EF6B2D"/>
    <w:rsid w:val="00F02220"/>
    <w:rsid w:val="00F033B0"/>
    <w:rsid w:val="00F038F7"/>
    <w:rsid w:val="00F05E6D"/>
    <w:rsid w:val="00F0707A"/>
    <w:rsid w:val="00F144E6"/>
    <w:rsid w:val="00F16332"/>
    <w:rsid w:val="00F179C7"/>
    <w:rsid w:val="00F21A76"/>
    <w:rsid w:val="00F226DF"/>
    <w:rsid w:val="00F35FB1"/>
    <w:rsid w:val="00F41D6C"/>
    <w:rsid w:val="00F5414E"/>
    <w:rsid w:val="00F64262"/>
    <w:rsid w:val="00F733BC"/>
    <w:rsid w:val="00F815A1"/>
    <w:rsid w:val="00F83F3F"/>
    <w:rsid w:val="00F84C3D"/>
    <w:rsid w:val="00F86F41"/>
    <w:rsid w:val="00F90781"/>
    <w:rsid w:val="00F96122"/>
    <w:rsid w:val="00F96442"/>
    <w:rsid w:val="00FB10AD"/>
    <w:rsid w:val="00FC1281"/>
    <w:rsid w:val="00FC17D6"/>
    <w:rsid w:val="00FC3A32"/>
    <w:rsid w:val="00FC58A3"/>
    <w:rsid w:val="00FC69DA"/>
    <w:rsid w:val="00FD0621"/>
    <w:rsid w:val="00FE6BB5"/>
    <w:rsid w:val="00FF1F71"/>
    <w:rsid w:val="00FF480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9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n-GB" w:bidi="en-GB"/>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D0C"/>
    <w:pPr>
      <w:suppressAutoHyphens w:val="0"/>
      <w:spacing w:line="288" w:lineRule="auto"/>
      <w:jc w:val="both"/>
    </w:pPr>
    <w:rPr>
      <w:lang w:eastAsia="en-US" w:bidi="ar-SA"/>
    </w:rPr>
  </w:style>
  <w:style w:type="paragraph" w:styleId="1">
    <w:name w:val="heading 1"/>
    <w:basedOn w:val="a"/>
    <w:next w:val="a"/>
    <w:link w:val="1Char"/>
    <w:qFormat/>
    <w:rsid w:val="00CF7D0C"/>
    <w:pPr>
      <w:numPr>
        <w:numId w:val="2"/>
      </w:numPr>
      <w:ind w:left="567" w:hanging="567"/>
      <w:outlineLvl w:val="0"/>
    </w:pPr>
    <w:rPr>
      <w:kern w:val="28"/>
    </w:rPr>
  </w:style>
  <w:style w:type="paragraph" w:styleId="2">
    <w:name w:val="heading 2"/>
    <w:basedOn w:val="a"/>
    <w:next w:val="a"/>
    <w:link w:val="2Char"/>
    <w:qFormat/>
    <w:rsid w:val="00CF7D0C"/>
    <w:pPr>
      <w:numPr>
        <w:ilvl w:val="1"/>
        <w:numId w:val="2"/>
      </w:numPr>
      <w:outlineLvl w:val="1"/>
    </w:pPr>
  </w:style>
  <w:style w:type="paragraph" w:styleId="3">
    <w:name w:val="heading 3"/>
    <w:basedOn w:val="a"/>
    <w:next w:val="a"/>
    <w:link w:val="3Char"/>
    <w:qFormat/>
    <w:rsid w:val="00CF7D0C"/>
    <w:pPr>
      <w:numPr>
        <w:ilvl w:val="2"/>
        <w:numId w:val="2"/>
      </w:numPr>
      <w:ind w:left="567" w:hanging="567"/>
      <w:outlineLvl w:val="2"/>
    </w:pPr>
  </w:style>
  <w:style w:type="paragraph" w:styleId="4">
    <w:name w:val="heading 4"/>
    <w:basedOn w:val="a"/>
    <w:next w:val="a"/>
    <w:link w:val="4Char"/>
    <w:qFormat/>
    <w:rsid w:val="00CF7D0C"/>
    <w:pPr>
      <w:numPr>
        <w:ilvl w:val="3"/>
        <w:numId w:val="2"/>
      </w:numPr>
      <w:ind w:left="567" w:hanging="567"/>
      <w:outlineLvl w:val="3"/>
    </w:pPr>
  </w:style>
  <w:style w:type="paragraph" w:styleId="5">
    <w:name w:val="heading 5"/>
    <w:basedOn w:val="a"/>
    <w:next w:val="a"/>
    <w:link w:val="5Char"/>
    <w:qFormat/>
    <w:rsid w:val="00CF7D0C"/>
    <w:pPr>
      <w:numPr>
        <w:ilvl w:val="4"/>
        <w:numId w:val="2"/>
      </w:numPr>
      <w:ind w:left="567" w:hanging="567"/>
      <w:outlineLvl w:val="4"/>
    </w:pPr>
  </w:style>
  <w:style w:type="paragraph" w:styleId="6">
    <w:name w:val="heading 6"/>
    <w:basedOn w:val="a"/>
    <w:next w:val="a"/>
    <w:link w:val="6Char"/>
    <w:qFormat/>
    <w:rsid w:val="00CF7D0C"/>
    <w:pPr>
      <w:numPr>
        <w:ilvl w:val="5"/>
        <w:numId w:val="2"/>
      </w:numPr>
      <w:ind w:left="567" w:hanging="567"/>
      <w:outlineLvl w:val="5"/>
    </w:pPr>
  </w:style>
  <w:style w:type="paragraph" w:styleId="7">
    <w:name w:val="heading 7"/>
    <w:basedOn w:val="a"/>
    <w:next w:val="a"/>
    <w:link w:val="7Char"/>
    <w:qFormat/>
    <w:rsid w:val="00CF7D0C"/>
    <w:pPr>
      <w:numPr>
        <w:ilvl w:val="6"/>
        <w:numId w:val="2"/>
      </w:numPr>
      <w:ind w:left="567" w:hanging="567"/>
      <w:outlineLvl w:val="6"/>
    </w:pPr>
  </w:style>
  <w:style w:type="paragraph" w:styleId="8">
    <w:name w:val="heading 8"/>
    <w:basedOn w:val="a"/>
    <w:next w:val="a"/>
    <w:link w:val="8Char"/>
    <w:qFormat/>
    <w:rsid w:val="00CF7D0C"/>
    <w:pPr>
      <w:numPr>
        <w:ilvl w:val="7"/>
        <w:numId w:val="2"/>
      </w:numPr>
      <w:ind w:left="567" w:hanging="567"/>
      <w:outlineLvl w:val="7"/>
    </w:pPr>
  </w:style>
  <w:style w:type="paragraph" w:styleId="9">
    <w:name w:val="heading 9"/>
    <w:basedOn w:val="a"/>
    <w:next w:val="a"/>
    <w:link w:val="9Char"/>
    <w:qFormat/>
    <w:rsid w:val="00CF7D0C"/>
    <w:pPr>
      <w:numPr>
        <w:ilvl w:val="8"/>
        <w:numId w:val="2"/>
      </w:numPr>
      <w:ind w:left="567"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locked/>
    <w:rsid w:val="00624603"/>
    <w:rPr>
      <w:kern w:val="28"/>
      <w:lang w:val="el-GR" w:eastAsia="en-US" w:bidi="ar-SA"/>
    </w:rPr>
  </w:style>
  <w:style w:type="character" w:customStyle="1" w:styleId="2Char">
    <w:name w:val="Επικεφαλίδα 2 Char"/>
    <w:basedOn w:val="a0"/>
    <w:link w:val="2"/>
    <w:qFormat/>
    <w:locked/>
    <w:rsid w:val="00083786"/>
    <w:rPr>
      <w:lang w:val="el-GR" w:eastAsia="en-US" w:bidi="ar-SA"/>
    </w:rPr>
  </w:style>
  <w:style w:type="character" w:customStyle="1" w:styleId="3Char">
    <w:name w:val="Επικεφαλίδα 3 Char"/>
    <w:basedOn w:val="a0"/>
    <w:link w:val="3"/>
    <w:qFormat/>
    <w:locked/>
    <w:rsid w:val="00CB1536"/>
    <w:rPr>
      <w:lang w:val="el-GR" w:eastAsia="en-US" w:bidi="ar-SA"/>
    </w:rPr>
  </w:style>
  <w:style w:type="character" w:customStyle="1" w:styleId="4Char">
    <w:name w:val="Επικεφαλίδα 4 Char"/>
    <w:basedOn w:val="a0"/>
    <w:link w:val="4"/>
    <w:qFormat/>
    <w:locked/>
    <w:rsid w:val="00CB1536"/>
    <w:rPr>
      <w:lang w:val="el-GR" w:eastAsia="en-US" w:bidi="ar-SA"/>
    </w:rPr>
  </w:style>
  <w:style w:type="character" w:customStyle="1" w:styleId="5Char">
    <w:name w:val="Επικεφαλίδα 5 Char"/>
    <w:basedOn w:val="a0"/>
    <w:link w:val="5"/>
    <w:qFormat/>
    <w:locked/>
    <w:rsid w:val="00CB1536"/>
    <w:rPr>
      <w:lang w:val="el-GR" w:eastAsia="en-US" w:bidi="ar-SA"/>
    </w:rPr>
  </w:style>
  <w:style w:type="character" w:customStyle="1" w:styleId="6Char">
    <w:name w:val="Επικεφαλίδα 6 Char"/>
    <w:basedOn w:val="a0"/>
    <w:link w:val="6"/>
    <w:qFormat/>
    <w:locked/>
    <w:rsid w:val="00CB1536"/>
    <w:rPr>
      <w:lang w:val="el-GR" w:eastAsia="en-US" w:bidi="ar-SA"/>
    </w:rPr>
  </w:style>
  <w:style w:type="character" w:customStyle="1" w:styleId="7Char">
    <w:name w:val="Επικεφαλίδα 7 Char"/>
    <w:basedOn w:val="a0"/>
    <w:link w:val="7"/>
    <w:qFormat/>
    <w:locked/>
    <w:rsid w:val="00CB1536"/>
    <w:rPr>
      <w:lang w:val="el-GR" w:eastAsia="en-US" w:bidi="ar-SA"/>
    </w:rPr>
  </w:style>
  <w:style w:type="character" w:customStyle="1" w:styleId="8Char">
    <w:name w:val="Επικεφαλίδα 8 Char"/>
    <w:basedOn w:val="a0"/>
    <w:link w:val="8"/>
    <w:qFormat/>
    <w:locked/>
    <w:rsid w:val="00CB1536"/>
    <w:rPr>
      <w:lang w:val="el-GR" w:eastAsia="en-US" w:bidi="ar-SA"/>
    </w:rPr>
  </w:style>
  <w:style w:type="character" w:customStyle="1" w:styleId="9Char">
    <w:name w:val="Επικεφαλίδα 9 Char"/>
    <w:basedOn w:val="a0"/>
    <w:link w:val="9"/>
    <w:qFormat/>
    <w:locked/>
    <w:rsid w:val="00CB1536"/>
    <w:rPr>
      <w:lang w:val="el-GR" w:eastAsia="en-US" w:bidi="ar-SA"/>
    </w:rPr>
  </w:style>
  <w:style w:type="character" w:customStyle="1" w:styleId="Char">
    <w:name w:val="Υποσέλιδο Char"/>
    <w:basedOn w:val="a0"/>
    <w:link w:val="a3"/>
    <w:qFormat/>
    <w:locked/>
    <w:rsid w:val="00CB1536"/>
    <w:rPr>
      <w:lang w:val="el-GR" w:eastAsia="en-US" w:bidi="ar-SA"/>
    </w:rPr>
  </w:style>
  <w:style w:type="character" w:customStyle="1" w:styleId="Char0">
    <w:name w:val="Κείμενο υποσημείωσης Char"/>
    <w:basedOn w:val="a0"/>
    <w:link w:val="a4"/>
    <w:qFormat/>
    <w:locked/>
    <w:rsid w:val="00CB1536"/>
    <w:rPr>
      <w:sz w:val="16"/>
      <w:lang w:val="el-GR" w:eastAsia="en-US" w:bidi="ar-SA"/>
    </w:rPr>
  </w:style>
  <w:style w:type="character" w:customStyle="1" w:styleId="Char1">
    <w:name w:val="Κεφαλίδα Char"/>
    <w:basedOn w:val="a0"/>
    <w:link w:val="a5"/>
    <w:qFormat/>
    <w:locked/>
    <w:rsid w:val="00CB1536"/>
    <w:rPr>
      <w:lang w:val="el-GR" w:eastAsia="en-US" w:bidi="ar-SA"/>
    </w:rPr>
  </w:style>
  <w:style w:type="character" w:customStyle="1" w:styleId="CollegamentoInternet">
    <w:name w:val="Collegamento Internet"/>
    <w:basedOn w:val="a0"/>
    <w:uiPriority w:val="99"/>
    <w:rsid w:val="00934C10"/>
    <w:rPr>
      <w:color w:val="0000FF"/>
      <w:u w:val="single"/>
    </w:rPr>
  </w:style>
  <w:style w:type="character" w:styleId="a6">
    <w:name w:val="footnote reference"/>
    <w:basedOn w:val="a0"/>
    <w:unhideWhenUsed/>
    <w:qFormat/>
    <w:locked/>
    <w:rsid w:val="00CF7D0C"/>
    <w:rPr>
      <w:sz w:val="24"/>
      <w:vertAlign w:val="superscript"/>
    </w:rPr>
  </w:style>
  <w:style w:type="paragraph" w:styleId="a3">
    <w:name w:val="footer"/>
    <w:basedOn w:val="a"/>
    <w:link w:val="Char"/>
    <w:qFormat/>
    <w:rsid w:val="00CF7D0C"/>
  </w:style>
  <w:style w:type="paragraph" w:styleId="a4">
    <w:name w:val="footnote text"/>
    <w:basedOn w:val="a"/>
    <w:link w:val="Char0"/>
    <w:qFormat/>
    <w:rsid w:val="00CF7D0C"/>
    <w:pPr>
      <w:keepLines/>
      <w:spacing w:after="60" w:line="240" w:lineRule="auto"/>
      <w:ind w:left="567" w:hanging="567"/>
    </w:pPr>
    <w:rPr>
      <w:sz w:val="16"/>
    </w:rPr>
  </w:style>
  <w:style w:type="paragraph" w:styleId="a5">
    <w:name w:val="header"/>
    <w:basedOn w:val="a"/>
    <w:link w:val="Char1"/>
    <w:qFormat/>
    <w:rsid w:val="00CF7D0C"/>
  </w:style>
  <w:style w:type="paragraph" w:customStyle="1" w:styleId="LOGO">
    <w:name w:val="LOGO"/>
    <w:basedOn w:val="a"/>
    <w:uiPriority w:val="99"/>
    <w:qFormat/>
    <w:rsid w:val="00934C10"/>
    <w:pPr>
      <w:jc w:val="center"/>
    </w:pPr>
    <w:rPr>
      <w:rFonts w:ascii="Arial" w:hAnsi="Arial" w:cs="Arial"/>
      <w:b/>
      <w:bCs/>
      <w:i/>
      <w:iCs/>
      <w:sz w:val="20"/>
    </w:rPr>
  </w:style>
  <w:style w:type="paragraph" w:customStyle="1" w:styleId="quotes">
    <w:name w:val="quotes"/>
    <w:basedOn w:val="a"/>
    <w:next w:val="a"/>
    <w:rsid w:val="00CF7D0C"/>
    <w:pPr>
      <w:ind w:left="720"/>
    </w:pPr>
    <w:rPr>
      <w:i/>
    </w:rPr>
  </w:style>
  <w:style w:type="paragraph" w:styleId="a7">
    <w:name w:val="Revision"/>
    <w:hidden/>
    <w:uiPriority w:val="99"/>
    <w:semiHidden/>
    <w:rsid w:val="002E4FFC"/>
    <w:pPr>
      <w:suppressAutoHyphens w:val="0"/>
    </w:pPr>
    <w:rPr>
      <w:lang w:eastAsia="en-US" w:bidi="ar-SA"/>
    </w:rPr>
  </w:style>
  <w:style w:type="character" w:styleId="-">
    <w:name w:val="Hyperlink"/>
    <w:basedOn w:val="a0"/>
    <w:uiPriority w:val="99"/>
    <w:unhideWhenUsed/>
    <w:locked/>
    <w:rsid w:val="00057447"/>
    <w:rPr>
      <w:color w:val="0000FF" w:themeColor="hyperlink"/>
      <w:u w:val="single"/>
    </w:rPr>
  </w:style>
  <w:style w:type="character" w:styleId="-0">
    <w:name w:val="FollowedHyperlink"/>
    <w:basedOn w:val="a0"/>
    <w:uiPriority w:val="99"/>
    <w:semiHidden/>
    <w:unhideWhenUsed/>
    <w:rsid w:val="00057447"/>
    <w:rPr>
      <w:color w:val="800080" w:themeColor="followedHyperlink"/>
      <w:u w:val="single"/>
    </w:rPr>
  </w:style>
  <w:style w:type="paragraph" w:styleId="a8">
    <w:name w:val="List Paragraph"/>
    <w:basedOn w:val="a"/>
    <w:uiPriority w:val="34"/>
    <w:qFormat/>
    <w:rsid w:val="00CE73CD"/>
    <w:pPr>
      <w:ind w:left="720"/>
      <w:contextualSpacing/>
    </w:pPr>
  </w:style>
  <w:style w:type="table" w:styleId="a9">
    <w:name w:val="Table Grid"/>
    <w:basedOn w:val="a1"/>
    <w:locked/>
    <w:rsid w:val="00232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8680">
      <w:bodyDiv w:val="1"/>
      <w:marLeft w:val="0"/>
      <w:marRight w:val="0"/>
      <w:marTop w:val="0"/>
      <w:marBottom w:val="0"/>
      <w:divBdr>
        <w:top w:val="none" w:sz="0" w:space="0" w:color="auto"/>
        <w:left w:val="none" w:sz="0" w:space="0" w:color="auto"/>
        <w:bottom w:val="none" w:sz="0" w:space="0" w:color="auto"/>
        <w:right w:val="none" w:sz="0" w:space="0" w:color="auto"/>
      </w:divBdr>
    </w:div>
    <w:div w:id="1647394618">
      <w:bodyDiv w:val="1"/>
      <w:marLeft w:val="0"/>
      <w:marRight w:val="0"/>
      <w:marTop w:val="0"/>
      <w:marBottom w:val="0"/>
      <w:divBdr>
        <w:top w:val="none" w:sz="0" w:space="0" w:color="auto"/>
        <w:left w:val="none" w:sz="0" w:space="0" w:color="auto"/>
        <w:bottom w:val="none" w:sz="0" w:space="0" w:color="auto"/>
        <w:right w:val="none" w:sz="0" w:space="0" w:color="auto"/>
      </w:divBdr>
      <w:divsChild>
        <w:div w:id="1727410735">
          <w:marLeft w:val="0"/>
          <w:marRight w:val="0"/>
          <w:marTop w:val="0"/>
          <w:marBottom w:val="0"/>
          <w:divBdr>
            <w:top w:val="none" w:sz="0" w:space="0" w:color="auto"/>
            <w:left w:val="none" w:sz="0" w:space="0" w:color="auto"/>
            <w:bottom w:val="none" w:sz="0" w:space="0" w:color="auto"/>
            <w:right w:val="none" w:sz="0" w:space="0" w:color="auto"/>
          </w:divBdr>
          <w:divsChild>
            <w:div w:id="960763925">
              <w:marLeft w:val="0"/>
              <w:marRight w:val="0"/>
              <w:marTop w:val="0"/>
              <w:marBottom w:val="0"/>
              <w:divBdr>
                <w:top w:val="none" w:sz="0" w:space="0" w:color="auto"/>
                <w:left w:val="none" w:sz="0" w:space="0" w:color="auto"/>
                <w:bottom w:val="none" w:sz="0" w:space="0" w:color="auto"/>
                <w:right w:val="none" w:sz="0" w:space="0" w:color="auto"/>
              </w:divBdr>
              <w:divsChild>
                <w:div w:id="262886084">
                  <w:marLeft w:val="0"/>
                  <w:marRight w:val="0"/>
                  <w:marTop w:val="0"/>
                  <w:marBottom w:val="0"/>
                  <w:divBdr>
                    <w:top w:val="none" w:sz="0" w:space="0" w:color="auto"/>
                    <w:left w:val="none" w:sz="0" w:space="0" w:color="auto"/>
                    <w:bottom w:val="none" w:sz="0" w:space="0" w:color="auto"/>
                    <w:right w:val="none" w:sz="0" w:space="0" w:color="auto"/>
                  </w:divBdr>
                  <w:divsChild>
                    <w:div w:id="1257442128">
                      <w:marLeft w:val="0"/>
                      <w:marRight w:val="0"/>
                      <w:marTop w:val="0"/>
                      <w:marBottom w:val="0"/>
                      <w:divBdr>
                        <w:top w:val="none" w:sz="0" w:space="0" w:color="auto"/>
                        <w:left w:val="none" w:sz="0" w:space="0" w:color="auto"/>
                        <w:bottom w:val="none" w:sz="0" w:space="0" w:color="auto"/>
                        <w:right w:val="none" w:sz="0" w:space="0" w:color="auto"/>
                      </w:divBdr>
                      <w:divsChild>
                        <w:div w:id="1462305754">
                          <w:marLeft w:val="0"/>
                          <w:marRight w:val="0"/>
                          <w:marTop w:val="0"/>
                          <w:marBottom w:val="0"/>
                          <w:divBdr>
                            <w:top w:val="none" w:sz="0" w:space="0" w:color="auto"/>
                            <w:left w:val="none" w:sz="0" w:space="0" w:color="auto"/>
                            <w:bottom w:val="none" w:sz="0" w:space="0" w:color="auto"/>
                            <w:right w:val="none" w:sz="0" w:space="0" w:color="auto"/>
                          </w:divBdr>
                          <w:divsChild>
                            <w:div w:id="2112578269">
                              <w:marLeft w:val="0"/>
                              <w:marRight w:val="0"/>
                              <w:marTop w:val="0"/>
                              <w:marBottom w:val="0"/>
                              <w:divBdr>
                                <w:top w:val="none" w:sz="0" w:space="0" w:color="auto"/>
                                <w:left w:val="none" w:sz="0" w:space="0" w:color="auto"/>
                                <w:bottom w:val="none" w:sz="0" w:space="0" w:color="auto"/>
                                <w:right w:val="none" w:sz="0" w:space="0" w:color="auto"/>
                              </w:divBdr>
                              <w:divsChild>
                                <w:div w:id="1227717807">
                                  <w:marLeft w:val="0"/>
                                  <w:marRight w:val="0"/>
                                  <w:marTop w:val="0"/>
                                  <w:marBottom w:val="0"/>
                                  <w:divBdr>
                                    <w:top w:val="none" w:sz="0" w:space="0" w:color="auto"/>
                                    <w:left w:val="none" w:sz="0" w:space="0" w:color="auto"/>
                                    <w:bottom w:val="none" w:sz="0" w:space="0" w:color="auto"/>
                                    <w:right w:val="none" w:sz="0" w:space="0" w:color="auto"/>
                                  </w:divBdr>
                                  <w:divsChild>
                                    <w:div w:id="20558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84894">
          <w:marLeft w:val="0"/>
          <w:marRight w:val="0"/>
          <w:marTop w:val="0"/>
          <w:marBottom w:val="0"/>
          <w:divBdr>
            <w:top w:val="none" w:sz="0" w:space="0" w:color="auto"/>
            <w:left w:val="none" w:sz="0" w:space="0" w:color="auto"/>
            <w:bottom w:val="none" w:sz="0" w:space="0" w:color="auto"/>
            <w:right w:val="none" w:sz="0" w:space="0" w:color="auto"/>
          </w:divBdr>
          <w:divsChild>
            <w:div w:id="814175918">
              <w:marLeft w:val="0"/>
              <w:marRight w:val="0"/>
              <w:marTop w:val="0"/>
              <w:marBottom w:val="0"/>
              <w:divBdr>
                <w:top w:val="none" w:sz="0" w:space="0" w:color="auto"/>
                <w:left w:val="none" w:sz="0" w:space="0" w:color="auto"/>
                <w:bottom w:val="none" w:sz="0" w:space="0" w:color="auto"/>
                <w:right w:val="none" w:sz="0" w:space="0" w:color="auto"/>
              </w:divBdr>
              <w:divsChild>
                <w:div w:id="1148211077">
                  <w:marLeft w:val="0"/>
                  <w:marRight w:val="0"/>
                  <w:marTop w:val="0"/>
                  <w:marBottom w:val="0"/>
                  <w:divBdr>
                    <w:top w:val="none" w:sz="0" w:space="0" w:color="auto"/>
                    <w:left w:val="none" w:sz="0" w:space="0" w:color="auto"/>
                    <w:bottom w:val="none" w:sz="0" w:space="0" w:color="auto"/>
                    <w:right w:val="none" w:sz="0" w:space="0" w:color="auto"/>
                  </w:divBdr>
                  <w:divsChild>
                    <w:div w:id="1371345413">
                      <w:marLeft w:val="0"/>
                      <w:marRight w:val="0"/>
                      <w:marTop w:val="0"/>
                      <w:marBottom w:val="0"/>
                      <w:divBdr>
                        <w:top w:val="none" w:sz="0" w:space="0" w:color="auto"/>
                        <w:left w:val="none" w:sz="0" w:space="0" w:color="auto"/>
                        <w:bottom w:val="none" w:sz="0" w:space="0" w:color="auto"/>
                        <w:right w:val="none" w:sz="0" w:space="0" w:color="auto"/>
                      </w:divBdr>
                      <w:divsChild>
                        <w:div w:id="1626614152">
                          <w:marLeft w:val="0"/>
                          <w:marRight w:val="0"/>
                          <w:marTop w:val="0"/>
                          <w:marBottom w:val="0"/>
                          <w:divBdr>
                            <w:top w:val="none" w:sz="0" w:space="0" w:color="auto"/>
                            <w:left w:val="none" w:sz="0" w:space="0" w:color="auto"/>
                            <w:bottom w:val="none" w:sz="0" w:space="0" w:color="auto"/>
                            <w:right w:val="none" w:sz="0" w:space="0" w:color="auto"/>
                          </w:divBdr>
                          <w:divsChild>
                            <w:div w:id="1462310025">
                              <w:marLeft w:val="0"/>
                              <w:marRight w:val="0"/>
                              <w:marTop w:val="0"/>
                              <w:marBottom w:val="0"/>
                              <w:divBdr>
                                <w:top w:val="none" w:sz="0" w:space="0" w:color="auto"/>
                                <w:left w:val="none" w:sz="0" w:space="0" w:color="auto"/>
                                <w:bottom w:val="none" w:sz="0" w:space="0" w:color="auto"/>
                                <w:right w:val="none" w:sz="0" w:space="0" w:color="auto"/>
                              </w:divBdr>
                              <w:divsChild>
                                <w:div w:id="1913419920">
                                  <w:marLeft w:val="0"/>
                                  <w:marRight w:val="0"/>
                                  <w:marTop w:val="0"/>
                                  <w:marBottom w:val="0"/>
                                  <w:divBdr>
                                    <w:top w:val="none" w:sz="0" w:space="0" w:color="auto"/>
                                    <w:left w:val="none" w:sz="0" w:space="0" w:color="auto"/>
                                    <w:bottom w:val="none" w:sz="0" w:space="0" w:color="auto"/>
                                    <w:right w:val="none" w:sz="0" w:space="0" w:color="auto"/>
                                  </w:divBdr>
                                  <w:divsChild>
                                    <w:div w:id="279186332">
                                      <w:marLeft w:val="0"/>
                                      <w:marRight w:val="0"/>
                                      <w:marTop w:val="0"/>
                                      <w:marBottom w:val="0"/>
                                      <w:divBdr>
                                        <w:top w:val="none" w:sz="0" w:space="0" w:color="auto"/>
                                        <w:left w:val="none" w:sz="0" w:space="0" w:color="auto"/>
                                        <w:bottom w:val="none" w:sz="0" w:space="0" w:color="auto"/>
                                        <w:right w:val="none" w:sz="0" w:space="0" w:color="auto"/>
                                      </w:divBdr>
                                      <w:divsChild>
                                        <w:div w:id="15106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056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agriculture.ec.europa.eu/common-agricultural-policy/financing-cap/cap-funds_en" TargetMode="External"/><Relationship Id="rId2" Type="http://schemas.openxmlformats.org/officeDocument/2006/relationships/hyperlink" Target="https://clean-energy-islands.ec.europa.eu/" TargetMode="External"/><Relationship Id="rId1" Type="http://schemas.openxmlformats.org/officeDocument/2006/relationships/hyperlink" Target="https://commission.europa.eu/strategy-and-policy/strategic-foresight/2025-strategic-foresight-report_el" TargetMode="External"/><Relationship Id="rId6" Type="http://schemas.openxmlformats.org/officeDocument/2006/relationships/hyperlink" Target="https://ec.europa.eu/eurostat/statistics-explained/index.php?title=Territorial_typologies_manual_-_island_regions" TargetMode="External"/><Relationship Id="rId5" Type="http://schemas.openxmlformats.org/officeDocument/2006/relationships/hyperlink" Target="https://commission.europa.eu/strategy-and-policy/strategic-foresight/2025-strategic-foresight-report_el" TargetMode="External"/><Relationship Id="rId4" Type="http://schemas.openxmlformats.org/officeDocument/2006/relationships/hyperlink" Target="http://www.esp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A6WAAD5KZT2Q-284857674-8437</_dlc_DocId>
    <_dlc_DocIdUrl xmlns="1a33af13-4045-4f88-9d7b-618e30f79918">
      <Url>http://dm/eesc/2025/_layouts/15/DocIdRedir.aspx?ID=A6WAAD5KZT2Q-284857674-8437</Url>
      <Description>A6WAAD5KZT2Q-284857674-8437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2026-02-09T12:00:00+00:00</ProductionDate>
    <DocumentNumber xmlns="27994258-8564-426c-a7a1-d6286d62992e">3598</DocumentNumber>
    <FicheYear xmlns="1a33af13-4045-4f88-9d7b-618e30f79918" xsi:nil="true"/>
    <DossierNumber xmlns="1a33af13-4045-4f88-9d7b-618e30f79918">689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2026-02-18T12:00:00+00:00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1a33af13-4045-4f88-9d7b-618e30f79918">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297046</FicheNumber>
    <OriginalSender xmlns="1a33af13-4045-4f88-9d7b-618e30f79918">
      <UserInfo>
        <DisplayName>Drandaki Anna</DisplayName>
        <AccountId>1639</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603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F4FA-2178-44BD-B3BC-A1A882A59C8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2.xml><?xml version="1.0" encoding="utf-8"?>
<ds:datastoreItem xmlns:ds="http://schemas.openxmlformats.org/officeDocument/2006/customXml" ds:itemID="{E9770695-F5BF-4939-A8EB-1C572D3389A4}">
  <ds:schemaRefs>
    <ds:schemaRef ds:uri="http://schemas.microsoft.com/sharepoint/v3/contenttype/forms"/>
  </ds:schemaRefs>
</ds:datastoreItem>
</file>

<file path=customXml/itemProps3.xml><?xml version="1.0" encoding="utf-8"?>
<ds:datastoreItem xmlns:ds="http://schemas.openxmlformats.org/officeDocument/2006/customXml" ds:itemID="{9543F2A5-9B8E-4437-9E80-424F423B84AA}">
  <ds:schemaRefs>
    <ds:schemaRef ds:uri="http://schemas.microsoft.com/sharepoint/events"/>
  </ds:schemaRefs>
</ds:datastoreItem>
</file>

<file path=customXml/itemProps4.xml><?xml version="1.0" encoding="utf-8"?>
<ds:datastoreItem xmlns:ds="http://schemas.openxmlformats.org/officeDocument/2006/customXml" ds:itemID="{9C5B1534-B2BA-475D-8F62-45A616C03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7191</Words>
  <Characters>38834</Characters>
  <Application>Microsoft Office Word</Application>
  <DocSecurity>0</DocSecurity>
  <Lines>323</Lines>
  <Paragraphs>91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The Island Dimension in EU Policies</vt:lpstr>
      <vt:lpstr/>
    </vt:vector>
  </TitlesOfParts>
  <Manager/>
  <Company/>
  <LinksUpToDate>false</LinksUpToDate>
  <CharactersWithSpaces>45934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νησιωτική διάσταση στις πολιτικές της ΕΕ</dc:title>
  <dc:subject>Draft opinion</dc:subject>
  <dc:creator/>
  <cp:keywords>EESC-2025-03598-00-00-PA-TRA-EN</cp:keywords>
  <dc:description>Rapporteur: - VARDAKASTANIS Original language: - EN Date of document: - 23/01/2026 Date of meeting: - 05/02/2026 External documents: -  Administrator responsible: -  MELEAS Georgios</dc:description>
  <cp:lastModifiedBy/>
  <cp:revision>1</cp:revision>
  <cp:lastPrinted>2016-01-26T08:31:00Z</cp:lastPrinted>
  <dcterms:created xsi:type="dcterms:W3CDTF">2026-02-19T06:35:00Z</dcterms:created>
  <dcterms:modified xsi:type="dcterms:W3CDTF">2026-02-19T06:35:00Z</dcterms:modified>
  <cp:category>ECO/689</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Date">
    <vt:lpwstr>06/02/2026, 23/01/2026, 07/01/2026, 15/11/2024, 06/11/2024, 14/03/2023, 17/05/2022, 04/11/2015, 27/10/2015, 19/10/2015, 09/10/2015, 05/10/2015, 05/10/2015, 26/08/2015, 26/08/2015, 25/08/2015</vt:lpwstr>
  </property>
  <property fmtid="{D5CDD505-2E9C-101B-9397-08002B2CF9AE}" pid="3" name="Pref_FileName">
    <vt:lpwstr>EESC-2025-03598-00-00-AS-TRA-EN-CRR.docx, EESC-2025-03598-00-00-PA-ORI.docx, EESC-2025-03598-00-00-APA-ORI.docx, EESC-2024-03481-00-01-DT-ORI.docx, EESC-2024-03481-00-00-DT-ORI.docx, EESC-2023-00788-00-00-DT-ORI.docx, COR-EESC-2022-02586-00-00-ADMIN-ORI.d</vt:lpwstr>
  </property>
  <property fmtid="{D5CDD505-2E9C-101B-9397-08002B2CF9AE}" pid="4" name="Pref_Time">
    <vt:lpwstr>09:44:47, 12:21:03, 14:31:26, 11:51:00, 08:08:31, 16:32:16, 12:59:17, 12/10/07, 14:44:02, 16/04/16, 14:09:30, 16:24:55, 16:04:02, 08:56:14, 07:27:56, 17:31:53</vt:lpwstr>
  </property>
  <property fmtid="{D5CDD505-2E9C-101B-9397-08002B2CF9AE}" pid="5" name="Pref_User">
    <vt:lpwstr>amett, amett, pacup, pacup, amett, amett, enied, ssex, enied, amett, tvoc, mreg, mreg, amett, enied, ssex</vt:lpwstr>
  </property>
  <property fmtid="{D5CDD505-2E9C-101B-9397-08002B2CF9AE}" pid="6" name="Pref_formatted">
    <vt:bool>true</vt:bool>
  </property>
  <property fmtid="{D5CDD505-2E9C-101B-9397-08002B2CF9AE}" pid="7" name="ContentTypeId">
    <vt:lpwstr>0x010100EA97B91038054C99906057A708A1480A00B192796EE9568A4C8E77C6EF5F22B614</vt:lpwstr>
  </property>
  <property fmtid="{D5CDD505-2E9C-101B-9397-08002B2CF9AE}" pid="8" name="_dlc_DocIdItemGuid">
    <vt:lpwstr>dae63f41-ee3c-4c8d-b1a0-3b251d2f56ef</vt:lpwstr>
  </property>
  <property fmtid="{D5CDD505-2E9C-101B-9397-08002B2CF9AE}" pid="9" name="AvailableTranslations">
    <vt:lpwstr>27;#NL|55c6556c-b4f4-441d-9acf-c498d4f838bd;#50;#HR|2f555653-ed1a-4fe6-8362-9082d95989e5;#37;#HU|6b229040-c589-4408-b4c1-4285663d20a8;#46;#SK|46d9fce0-ef79-4f71-b89b-cd6aa82426b8;#28;#SV|c2ed69e7-a339-43d7-8f22-d93680a92aa0;#36;#RO|feb747a2-64cd-4299-af12-4833ddc30497;#33;#PT|50ccc04a-eadd-42ae-a0cb-acaf45f812ba;#42;#EL|6d4f4d51-af9b-4650-94b4-4276bee85c91;#47;#BG|1a1b3951-7821-4e6a-85f5-5673fc08bd2c;#29;#CS|72f9705b-0217-4fd3-bea2-cbc7ed80e26e;#39;#LV|46f7e311-5d9f-4663-b433-18aeccb7ace7;#23;#DE|f6b31e5a-26fa-4935-b661-318e46daf27e;#31;#SL|98a412ae-eb01-49e9-ae3d-585a81724cfc;#43;#GA|762d2456-c427-4ecb-b312-af3dad8e258c;#35;#FI|87606a43-d45f-42d6-b8c9-e1a3457db5b7;#12;#FR|d2afafd3-4c81-4f60-8f52-ee33f2f54ff3;#24;#PL|1e03da61-4678-4e07-b136-b5024ca9197b;#5;#EN|f2175f21-25d7-44a3-96da-d6a61b075e1b;#32;#MT|7df99101-6854-4a26-b53a-b88c0da02c26;#30;#LT|a7ff5ce7-6123-4f68-865a-a57c31810414;#34;#IT|0774613c-01ed-4e5d-a25d-11d2388de825;#40;#DA|5d49c027-8956-412b-aa16-e85a0f96ad0e;#41;#ET|ff6c3f4c-b02c-4c3c-ab07-2c37995a7a0a;#16;#ES|e7a6b05b-ae16-40c8-add9-68b64b03aeba</vt:lpwstr>
  </property>
  <property fmtid="{D5CDD505-2E9C-101B-9397-08002B2CF9AE}" pid="10" name="DocumentType_0">
    <vt:lpwstr>AS|c7a748eb-f6f2-4d9d-8b5a-af0cafebc224</vt:lpwstr>
  </property>
  <property fmtid="{D5CDD505-2E9C-101B-9397-08002B2CF9AE}" pid="11" name="MeetingNumber">
    <vt:i4>603</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3598</vt:i4>
  </property>
  <property fmtid="{D5CDD505-2E9C-101B-9397-08002B2CF9AE}" pid="15" name="FicheYear">
    <vt:i4>2025</vt:i4>
  </property>
  <property fmtid="{D5CDD505-2E9C-101B-9397-08002B2CF9AE}" pid="16" name="DocumentVersion">
    <vt:i4>0</vt:i4>
  </property>
  <property fmtid="{D5CDD505-2E9C-101B-9397-08002B2CF9AE}" pid="17" name="DossierNumber">
    <vt:i4>689</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2026-02-18T12:00:00Z</vt:filetime>
  </property>
  <property fmtid="{D5CDD505-2E9C-101B-9397-08002B2CF9AE}" pid="27" name="AvailableTranslations_0">
    <vt:lpwstr>NL|55c6556c-b4f4-441d-9acf-c498d4f838bd;HR|2f555653-ed1a-4fe6-8362-9082d95989e5;HU|6b229040-c589-4408-b4c1-4285663d20a8;SK|46d9fce0-ef79-4f71-b89b-cd6aa82426b8;SV|c2ed69e7-a339-43d7-8f22-d93680a92aa0;RO|feb747a2-64cd-4299-af12-4833ddc30497;PT|50ccc04a-eadd-42ae-a0cb-acaf45f812ba;BG|1a1b3951-7821-4e6a-85f5-5673fc08bd2c;CS|72f9705b-0217-4fd3-bea2-cbc7ed80e26e;LV|46f7e311-5d9f-4663-b433-18aeccb7ace7;DE|f6b31e5a-26fa-4935-b661-318e46daf27e;SL|98a412ae-eb01-49e9-ae3d-585a81724cfc;GA|762d2456-c427-4ecb-b312-af3dad8e258c;FI|87606a43-d45f-42d6-b8c9-e1a3457db5b7;FR|d2afafd3-4c81-4f60-8f52-ee33f2f54ff3;PL|1e03da61-4678-4e07-b136-b5024ca9197b;EN|f2175f21-25d7-44a3-96da-d6a61b075e1b;MT|7df99101-6854-4a26-b53a-b88c0da02c26;LT|a7ff5ce7-6123-4f68-865a-a57c31810414;IT|0774613c-01ed-4e5d-a25d-11d2388de825;DA|5d49c027-8956-412b-aa16-e85a0f96ad0e;ET|ff6c3f4c-b02c-4c3c-ab07-2c37995a7a0a;ES|e7a6b05b-ae16-40c8-add9-68b64b03ae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50;#HR|2f555653-ed1a-4fe6-8362-9082d95989e5;#47;#BG|1a1b3951-7821-4e6a-85f5-5673fc08bd2c;#46;#SK|46d9fce0-ef79-4f71-b89b-cd6aa82426b8;#43;#GA|762d2456-c427-4ecb-b312-af3dad8e258c;#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28;#SV|c2ed69e7-a339-43d7-8f22-d93680a92aa0;#27;#NL|55c6556c-b4f4-441d-9acf-c498d4f838bd;#24;#PL|1e03da61-4678-4e07-b136-b5024ca9197b;#23;#DE|f6b31e5a-26fa-4935-b661-318e46daf27e;#16;#ES|e7a6b05b-ae16-40c8-add9-68b64b03aeba;#15;#Unrestricted|826e22d7-d029-4ec0-a450-0c28ff673572;#103;#ECO|8df351f5-c957-404c-8cf3-8ffb22c9cba2;#13;#TRA|150d2a88-1431-44e6-a8ca-0bb753ab8672;#12;#FR|d2afafd3-4c81-4f60-8f52-ee33f2f54ff3;#8;#Final|ea5e6674-7b27-4bac-b091-73adbb394efe;#5;#EN|f2175f21-25d7-44a3-96da-d6a61b075e1b;#126;#AS|c7a748eb-f6f2-4d9d-8b5a-af0cafebc224;#1;#EESC|422833ec-8d7e-4e65-8e4e-8bed07ffb729</vt:lpwstr>
  </property>
  <property fmtid="{D5CDD505-2E9C-101B-9397-08002B2CF9AE}" pid="31" name="Rapporteur">
    <vt:lpwstr>VARDAKASTANIS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297046</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42;#EL|6d4f4d51-af9b-4650-94b4-4276bee85c91</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