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3468A" w14:textId="1E87A621" w:rsidR="00D4284F" w:rsidRDefault="007341FB" w:rsidP="008010AF">
      <w:pPr>
        <w:spacing w:before="240"/>
        <w:ind w:right="-1"/>
        <w:jc w:val="center"/>
        <w:rPr>
          <w:noProof/>
          <w:lang w:val="el-GR" w:eastAsia="el-GR"/>
        </w:rPr>
      </w:pPr>
      <w:r>
        <w:rPr>
          <w:noProof/>
          <w:lang w:val="el-GR" w:eastAsia="el-GR"/>
        </w:rPr>
        <w:drawing>
          <wp:anchor distT="0" distB="0" distL="114300" distR="114300" simplePos="0" relativeHeight="251665408" behindDoc="0" locked="0" layoutInCell="1" allowOverlap="1" wp14:anchorId="1025D66B" wp14:editId="26D5AF3C">
            <wp:simplePos x="0" y="0"/>
            <wp:positionH relativeFrom="column">
              <wp:posOffset>-1151255</wp:posOffset>
            </wp:positionH>
            <wp:positionV relativeFrom="paragraph">
              <wp:posOffset>-1270000</wp:posOffset>
            </wp:positionV>
            <wp:extent cx="7552055" cy="5967056"/>
            <wp:effectExtent l="0" t="0" r="0" b="0"/>
            <wp:wrapNone/>
            <wp:docPr id="10783135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313584"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b="44070"/>
                    <a:stretch>
                      <a:fillRect/>
                    </a:stretch>
                  </pic:blipFill>
                  <pic:spPr bwMode="auto">
                    <a:xfrm>
                      <a:off x="0" y="0"/>
                      <a:ext cx="7566605" cy="5978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2DBC3A" w14:textId="58EABD36" w:rsidR="00EF5E3E" w:rsidRDefault="00EF5E3E" w:rsidP="008010AF">
      <w:pPr>
        <w:spacing w:before="240"/>
        <w:ind w:right="-1"/>
        <w:jc w:val="center"/>
        <w:rPr>
          <w:noProof/>
          <w:lang w:val="el-GR" w:eastAsia="el-GR"/>
        </w:rPr>
      </w:pPr>
    </w:p>
    <w:p w14:paraId="46E13414" w14:textId="12EEA49C" w:rsidR="007D51AE" w:rsidRDefault="00EF5E3E" w:rsidP="008010AF">
      <w:pPr>
        <w:spacing w:before="240"/>
        <w:ind w:right="-1"/>
        <w:jc w:val="center"/>
        <w:rPr>
          <w:noProof/>
          <w:lang w:val="el-GR" w:eastAsia="el-GR"/>
        </w:rPr>
      </w:pPr>
      <w:r>
        <w:rPr>
          <w:noProof/>
          <w:lang w:val="el-GR" w:eastAsia="el-GR"/>
        </w:rPr>
        <w:t>ΠΑΡΑΤΗΡΗΤΗΡΙΟ ΘΕΜΑΤΩΝ ΑΝΑΠΗΡΙΑΣ</w:t>
      </w:r>
    </w:p>
    <w:p w14:paraId="2D7FC1EF" w14:textId="0E7E84B2" w:rsidR="00EF5E3E" w:rsidRDefault="00EF5E3E" w:rsidP="008010AF">
      <w:pPr>
        <w:spacing w:before="240"/>
        <w:ind w:right="-1"/>
        <w:jc w:val="center"/>
        <w:rPr>
          <w:noProof/>
          <w:lang w:val="el-GR" w:eastAsia="el-GR"/>
        </w:rPr>
      </w:pPr>
      <w:r>
        <w:rPr>
          <w:noProof/>
          <w:lang w:val="el-GR" w:eastAsia="el-GR"/>
        </w:rPr>
        <w:t>Ε.Σ.Α.μεΑ.</w:t>
      </w:r>
    </w:p>
    <w:p w14:paraId="57E6C8A3" w14:textId="77777777" w:rsidR="00093E9D" w:rsidRDefault="00093E9D" w:rsidP="007F7EFE">
      <w:pPr>
        <w:spacing w:after="0" w:line="240" w:lineRule="auto"/>
        <w:jc w:val="center"/>
        <w:rPr>
          <w:b/>
          <w:bCs/>
          <w:sz w:val="30"/>
          <w:szCs w:val="30"/>
          <w:lang w:val="el-GR"/>
        </w:rPr>
      </w:pPr>
    </w:p>
    <w:p w14:paraId="2014B502" w14:textId="5607A8C5" w:rsidR="00EF5E3E" w:rsidRDefault="00EF5E3E" w:rsidP="007F7EFE">
      <w:pPr>
        <w:spacing w:after="0" w:line="240" w:lineRule="auto"/>
        <w:jc w:val="center"/>
        <w:rPr>
          <w:b/>
          <w:bCs/>
          <w:sz w:val="30"/>
          <w:szCs w:val="30"/>
          <w:lang w:val="el-GR"/>
        </w:rPr>
      </w:pPr>
      <w:r>
        <w:rPr>
          <w:b/>
          <w:bCs/>
          <w:sz w:val="30"/>
          <w:szCs w:val="30"/>
          <w:lang w:val="el-GR"/>
        </w:rPr>
        <w:t>ΔΕΛΤΙΟ ΣΤΑΤΙΣΤΙΚΗΣ ΠΛΗΡΟΦΟΡΗΣΗΣ</w:t>
      </w:r>
    </w:p>
    <w:p w14:paraId="4ECB30C5" w14:textId="3252756B" w:rsidR="00EF5E3E" w:rsidRDefault="00EF5E3E" w:rsidP="007F7EFE">
      <w:pPr>
        <w:spacing w:after="0" w:line="240" w:lineRule="auto"/>
        <w:jc w:val="center"/>
        <w:rPr>
          <w:b/>
          <w:bCs/>
          <w:sz w:val="30"/>
          <w:szCs w:val="30"/>
          <w:lang w:val="el-GR"/>
        </w:rPr>
      </w:pPr>
      <w:r>
        <w:rPr>
          <w:b/>
          <w:bCs/>
          <w:sz w:val="30"/>
          <w:szCs w:val="30"/>
          <w:lang w:val="el-GR"/>
        </w:rPr>
        <w:t xml:space="preserve">2025, Τεύχος </w:t>
      </w:r>
      <w:r w:rsidR="007341FB">
        <w:rPr>
          <w:b/>
          <w:bCs/>
          <w:sz w:val="30"/>
          <w:szCs w:val="30"/>
          <w:lang w:val="el-GR"/>
        </w:rPr>
        <w:t>1</w:t>
      </w:r>
      <w:r w:rsidRPr="00EF5E3E">
        <w:rPr>
          <w:b/>
          <w:bCs/>
          <w:sz w:val="30"/>
          <w:szCs w:val="30"/>
          <w:vertAlign w:val="superscript"/>
          <w:lang w:val="el-GR"/>
        </w:rPr>
        <w:t>ο</w:t>
      </w:r>
    </w:p>
    <w:p w14:paraId="4FBD1C0D" w14:textId="2CCE7A07" w:rsidR="00D4284F" w:rsidRDefault="007341FB" w:rsidP="00A8753C">
      <w:pPr>
        <w:spacing w:before="4800" w:line="240" w:lineRule="auto"/>
        <w:jc w:val="center"/>
        <w:rPr>
          <w:rFonts w:ascii="Aptos Narrow" w:hAnsi="Aptos Narrow"/>
          <w:sz w:val="52"/>
          <w:szCs w:val="52"/>
          <w:lang w:val="el-GR"/>
        </w:rPr>
      </w:pPr>
      <w:r w:rsidRPr="007341FB">
        <w:rPr>
          <w:rFonts w:ascii="Aptos Narrow" w:hAnsi="Aptos Narrow"/>
          <w:sz w:val="52"/>
          <w:szCs w:val="52"/>
          <w:lang w:val="el-GR"/>
        </w:rPr>
        <w:t>Δαπάνες Κοινωνικής Προστασίας</w:t>
      </w:r>
      <w:r>
        <w:rPr>
          <w:rFonts w:ascii="Aptos Narrow" w:hAnsi="Aptos Narrow"/>
          <w:sz w:val="52"/>
          <w:szCs w:val="52"/>
          <w:lang w:val="el-GR"/>
        </w:rPr>
        <w:br/>
      </w:r>
      <w:r w:rsidRPr="007341FB">
        <w:rPr>
          <w:rFonts w:ascii="Aptos Narrow" w:hAnsi="Aptos Narrow"/>
          <w:sz w:val="52"/>
          <w:szCs w:val="52"/>
          <w:lang w:val="el-GR"/>
        </w:rPr>
        <w:t>και προστασία της αναπηρίας</w:t>
      </w:r>
    </w:p>
    <w:p w14:paraId="4B097860" w14:textId="631BA50C" w:rsidR="00D4284F" w:rsidRPr="00926480" w:rsidRDefault="00D4284F" w:rsidP="001B7216">
      <w:pPr>
        <w:spacing w:before="240"/>
        <w:jc w:val="center"/>
        <w:rPr>
          <w:rFonts w:ascii="Aptos Light" w:hAnsi="Aptos Light"/>
          <w:color w:val="595959" w:themeColor="text1" w:themeTint="A6"/>
          <w:sz w:val="32"/>
          <w:szCs w:val="32"/>
          <w:lang w:val="el-GR"/>
        </w:rPr>
      </w:pPr>
      <w:r w:rsidRPr="00926480">
        <w:rPr>
          <w:rFonts w:ascii="Aptos Light" w:hAnsi="Aptos Light"/>
          <w:color w:val="595959" w:themeColor="text1" w:themeTint="A6"/>
          <w:sz w:val="32"/>
          <w:szCs w:val="32"/>
          <w:lang w:val="el-GR"/>
        </w:rPr>
        <w:t xml:space="preserve">Αθήνα: </w:t>
      </w:r>
      <w:r w:rsidR="007341FB">
        <w:rPr>
          <w:rFonts w:ascii="Aptos Light" w:hAnsi="Aptos Light"/>
          <w:color w:val="595959" w:themeColor="text1" w:themeTint="A6"/>
          <w:sz w:val="32"/>
          <w:szCs w:val="32"/>
          <w:lang w:val="el-GR"/>
        </w:rPr>
        <w:t>02</w:t>
      </w:r>
      <w:r w:rsidRPr="00926480">
        <w:rPr>
          <w:rFonts w:ascii="Aptos Light" w:hAnsi="Aptos Light"/>
          <w:color w:val="595959" w:themeColor="text1" w:themeTint="A6"/>
          <w:sz w:val="32"/>
          <w:szCs w:val="32"/>
          <w:lang w:val="el-GR"/>
        </w:rPr>
        <w:t>.0</w:t>
      </w:r>
      <w:r w:rsidR="007341FB">
        <w:rPr>
          <w:rFonts w:ascii="Aptos Light" w:hAnsi="Aptos Light"/>
          <w:color w:val="595959" w:themeColor="text1" w:themeTint="A6"/>
          <w:sz w:val="32"/>
          <w:szCs w:val="32"/>
          <w:lang w:val="el-GR"/>
        </w:rPr>
        <w:t>7</w:t>
      </w:r>
      <w:r w:rsidRPr="00926480">
        <w:rPr>
          <w:rFonts w:ascii="Aptos Light" w:hAnsi="Aptos Light"/>
          <w:color w:val="595959" w:themeColor="text1" w:themeTint="A6"/>
          <w:sz w:val="32"/>
          <w:szCs w:val="32"/>
          <w:lang w:val="el-GR"/>
        </w:rPr>
        <w:t>.202</w:t>
      </w:r>
      <w:r w:rsidR="007341FB">
        <w:rPr>
          <w:rFonts w:ascii="Aptos Light" w:hAnsi="Aptos Light"/>
          <w:color w:val="595959" w:themeColor="text1" w:themeTint="A6"/>
          <w:sz w:val="32"/>
          <w:szCs w:val="32"/>
          <w:lang w:val="el-GR"/>
        </w:rPr>
        <w:t>5</w:t>
      </w:r>
    </w:p>
    <w:p w14:paraId="3856ED8B" w14:textId="373F01F1" w:rsidR="00D4284F" w:rsidRPr="00D4284F" w:rsidRDefault="00D4284F" w:rsidP="001B7216">
      <w:pPr>
        <w:spacing w:before="1440" w:after="0" w:line="240" w:lineRule="auto"/>
        <w:jc w:val="center"/>
        <w:rPr>
          <w:rFonts w:ascii="Aptos Light" w:hAnsi="Aptos Light"/>
          <w:sz w:val="32"/>
          <w:szCs w:val="32"/>
          <w:lang w:val="el-GR"/>
        </w:rPr>
      </w:pPr>
      <w:r>
        <w:rPr>
          <w:rFonts w:ascii="Aptos Light" w:hAnsi="Aptos Light"/>
          <w:noProof/>
          <w:color w:val="808080" w:themeColor="background1" w:themeShade="80"/>
          <w:sz w:val="32"/>
          <w:szCs w:val="32"/>
          <w:lang w:val="el-GR"/>
        </w:rPr>
        <w:drawing>
          <wp:inline distT="0" distB="0" distL="0" distR="0" wp14:anchorId="1F91BC34" wp14:editId="6ACB2E33">
            <wp:extent cx="5143500" cy="495300"/>
            <wp:effectExtent l="0" t="0" r="0" b="0"/>
            <wp:docPr id="380633752" name="Picture 4" descr="Λογότυπο Προγράμματος:&#10;Πρόγραμμα &quot;Ανθρώπινο Δυναμικό και Κοινωνική Συνοχή&quot;.&#10;Με τη συγχρηματοδότηση της Ευρωπαϊκής Ένωσης.&#10;ΕΣΠΑ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33752" name="Picture 4" descr="Λογότυπο Προγράμματος:&#10;Πρόγραμμα &quot;Ανθρώπινο Δυναμικό και Κοινωνική Συνοχή&quot;.&#10;Με τη συγχρηματοδότηση της Ευρωπαϊκής Ένωσης.&#10;ΕΣΠΑ 2021-202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818"/>
                    <a:stretch>
                      <a:fillRect/>
                    </a:stretch>
                  </pic:blipFill>
                  <pic:spPr bwMode="auto">
                    <a:xfrm>
                      <a:off x="0" y="0"/>
                      <a:ext cx="5143500" cy="495300"/>
                    </a:xfrm>
                    <a:prstGeom prst="rect">
                      <a:avLst/>
                    </a:prstGeom>
                    <a:noFill/>
                    <a:ln>
                      <a:noFill/>
                    </a:ln>
                    <a:extLst>
                      <a:ext uri="{53640926-AAD7-44D8-BBD7-CCE9431645EC}">
                        <a14:shadowObscured xmlns:a14="http://schemas.microsoft.com/office/drawing/2010/main"/>
                      </a:ext>
                    </a:extLst>
                  </pic:spPr>
                </pic:pic>
              </a:graphicData>
            </a:graphic>
          </wp:inline>
        </w:drawing>
      </w:r>
    </w:p>
    <w:p w14:paraId="1359349A" w14:textId="77777777" w:rsidR="00D4284F" w:rsidRDefault="00D4284F">
      <w:pPr>
        <w:spacing w:after="0" w:line="240" w:lineRule="auto"/>
        <w:rPr>
          <w:b/>
          <w:bCs/>
          <w:sz w:val="30"/>
          <w:szCs w:val="30"/>
          <w:lang w:val="el-GR"/>
        </w:rPr>
      </w:pPr>
      <w:r>
        <w:rPr>
          <w:b/>
          <w:bCs/>
          <w:sz w:val="30"/>
          <w:szCs w:val="30"/>
          <w:lang w:val="el-GR"/>
        </w:rPr>
        <w:br w:type="page"/>
      </w:r>
    </w:p>
    <w:p w14:paraId="0A8A9C52" w14:textId="77B215C1" w:rsidR="00EF5E3E" w:rsidRPr="001B7216" w:rsidRDefault="00EF5E3E" w:rsidP="0023028E">
      <w:pPr>
        <w:spacing w:after="120" w:line="240" w:lineRule="auto"/>
        <w:rPr>
          <w:rFonts w:cstheme="minorHAnsi"/>
          <w:b/>
          <w:bCs/>
          <w:sz w:val="28"/>
          <w:szCs w:val="28"/>
          <w:u w:val="single"/>
          <w:lang w:val="el-GR"/>
        </w:rPr>
      </w:pPr>
      <w:r w:rsidRPr="001B7216">
        <w:rPr>
          <w:rFonts w:cstheme="minorHAnsi"/>
          <w:b/>
          <w:bCs/>
          <w:sz w:val="28"/>
          <w:szCs w:val="28"/>
          <w:u w:val="single"/>
          <w:lang w:val="el-GR"/>
        </w:rPr>
        <w:lastRenderedPageBreak/>
        <w:t>ΕΚΔΟΣΗ</w:t>
      </w:r>
    </w:p>
    <w:p w14:paraId="43B3B0B5" w14:textId="77777777" w:rsidR="00EF5E3E" w:rsidRPr="0023028E" w:rsidRDefault="00EF5E3E" w:rsidP="00EF5E3E">
      <w:pPr>
        <w:spacing w:after="0" w:line="240" w:lineRule="auto"/>
        <w:rPr>
          <w:rFonts w:cstheme="minorHAnsi"/>
          <w:b/>
          <w:bCs/>
          <w:sz w:val="24"/>
          <w:szCs w:val="24"/>
          <w:lang w:val="el-GR"/>
        </w:rPr>
      </w:pPr>
      <w:r w:rsidRPr="00EF5E3E">
        <w:rPr>
          <w:rFonts w:cstheme="minorHAnsi"/>
          <w:b/>
          <w:bCs/>
          <w:sz w:val="24"/>
          <w:szCs w:val="24"/>
        </w:rPr>
        <w:t>Εθνική Συνομοσπονδία Ατόμων με Αναπηρία (Ε.Σ.Α.μεΑ.)</w:t>
      </w:r>
    </w:p>
    <w:p w14:paraId="20C5CB55" w14:textId="77777777" w:rsidR="00EF5E3E" w:rsidRPr="0023028E" w:rsidRDefault="00EF5E3E" w:rsidP="00EF5E3E">
      <w:pPr>
        <w:spacing w:after="0" w:line="240" w:lineRule="auto"/>
        <w:rPr>
          <w:rFonts w:cstheme="minorHAnsi"/>
          <w:sz w:val="20"/>
          <w:szCs w:val="20"/>
          <w:lang w:val="el-GR"/>
        </w:rPr>
      </w:pPr>
      <w:r w:rsidRPr="00EF5E3E">
        <w:rPr>
          <w:rFonts w:cstheme="minorHAnsi"/>
          <w:sz w:val="20"/>
          <w:szCs w:val="20"/>
        </w:rPr>
        <w:t>Κεντρικά γραφεία: Λεωφ. Ελ. Βενιζέλου 236, Τ.Κ. 16341, Ηλιούπολη</w:t>
      </w:r>
    </w:p>
    <w:p w14:paraId="015A3698" w14:textId="77777777" w:rsidR="00EF5E3E" w:rsidRPr="0023028E" w:rsidRDefault="00EF5E3E" w:rsidP="00EF5E3E">
      <w:pPr>
        <w:spacing w:after="0" w:line="240" w:lineRule="auto"/>
        <w:rPr>
          <w:rFonts w:cstheme="minorHAnsi"/>
          <w:sz w:val="20"/>
          <w:szCs w:val="20"/>
          <w:lang w:val="el-GR"/>
        </w:rPr>
      </w:pPr>
      <w:r w:rsidRPr="00EF5E3E">
        <w:rPr>
          <w:rFonts w:cstheme="minorHAnsi"/>
          <w:sz w:val="20"/>
          <w:szCs w:val="20"/>
        </w:rPr>
        <w:t>Τηλ.: 210 9949837</w:t>
      </w:r>
      <w:r w:rsidRPr="0023028E">
        <w:rPr>
          <w:rFonts w:cstheme="minorHAnsi"/>
          <w:sz w:val="20"/>
          <w:szCs w:val="20"/>
          <w:lang w:val="el-GR"/>
        </w:rPr>
        <w:t xml:space="preserve"> </w:t>
      </w:r>
      <w:r w:rsidRPr="0023028E">
        <w:rPr>
          <w:rFonts w:cstheme="minorHAnsi"/>
          <w:sz w:val="20"/>
          <w:szCs w:val="20"/>
          <w:lang w:val="el-GR"/>
        </w:rPr>
        <w:sym w:font="Wingdings 2" w:char="F097"/>
      </w:r>
      <w:r w:rsidRPr="0023028E">
        <w:rPr>
          <w:rFonts w:cstheme="minorHAnsi"/>
          <w:sz w:val="20"/>
          <w:szCs w:val="20"/>
          <w:lang w:val="el-GR"/>
        </w:rPr>
        <w:t xml:space="preserve"> </w:t>
      </w:r>
      <w:r w:rsidRPr="00EF5E3E">
        <w:rPr>
          <w:rFonts w:cstheme="minorHAnsi"/>
          <w:sz w:val="20"/>
          <w:szCs w:val="20"/>
        </w:rPr>
        <w:t>Fax: 210 5238967</w:t>
      </w:r>
    </w:p>
    <w:p w14:paraId="5BA077F1" w14:textId="186AE952" w:rsidR="00EF5E3E" w:rsidRPr="0023028E" w:rsidRDefault="00EF5E3E" w:rsidP="00EF5E3E">
      <w:pPr>
        <w:spacing w:after="0" w:line="240" w:lineRule="auto"/>
        <w:rPr>
          <w:rFonts w:cstheme="minorHAnsi"/>
          <w:sz w:val="20"/>
          <w:szCs w:val="20"/>
          <w:lang w:val="el-GR"/>
        </w:rPr>
      </w:pPr>
      <w:r w:rsidRPr="00EF5E3E">
        <w:rPr>
          <w:rFonts w:cstheme="minorHAnsi"/>
          <w:sz w:val="20"/>
          <w:szCs w:val="20"/>
        </w:rPr>
        <w:t>E-mail:</w:t>
      </w:r>
      <w:r w:rsidRPr="0023028E">
        <w:rPr>
          <w:rFonts w:cstheme="minorHAnsi"/>
          <w:sz w:val="20"/>
          <w:szCs w:val="20"/>
          <w:lang w:val="el-GR"/>
        </w:rPr>
        <w:t xml:space="preserve"> </w:t>
      </w:r>
      <w:r w:rsidRPr="00EF5E3E">
        <w:rPr>
          <w:rFonts w:cstheme="minorHAnsi"/>
          <w:sz w:val="20"/>
          <w:szCs w:val="20"/>
        </w:rPr>
        <w:t xml:space="preserve">esaea@otenet.gr </w:t>
      </w:r>
      <w:r w:rsidRPr="0023028E">
        <w:rPr>
          <w:rFonts w:cstheme="minorHAnsi"/>
          <w:sz w:val="20"/>
          <w:szCs w:val="20"/>
          <w:lang w:val="el-GR"/>
        </w:rPr>
        <w:sym w:font="Wingdings 2" w:char="F097"/>
      </w:r>
      <w:r w:rsidRPr="0023028E">
        <w:rPr>
          <w:rFonts w:cstheme="minorHAnsi"/>
          <w:sz w:val="20"/>
          <w:szCs w:val="20"/>
          <w:lang w:val="el-GR"/>
        </w:rPr>
        <w:t xml:space="preserve"> </w:t>
      </w:r>
      <w:r w:rsidRPr="00EF5E3E">
        <w:rPr>
          <w:rFonts w:cstheme="minorHAnsi"/>
          <w:sz w:val="20"/>
          <w:szCs w:val="20"/>
        </w:rPr>
        <w:t>Ιστοσελίδα: esamea.gr</w:t>
      </w:r>
    </w:p>
    <w:p w14:paraId="04EBB239" w14:textId="77777777" w:rsidR="0023028E" w:rsidRDefault="0023028E" w:rsidP="00EF5E3E">
      <w:pPr>
        <w:spacing w:after="0" w:line="240" w:lineRule="auto"/>
        <w:rPr>
          <w:rFonts w:cstheme="minorHAnsi"/>
          <w:lang w:val="el-GR"/>
        </w:rPr>
      </w:pPr>
    </w:p>
    <w:p w14:paraId="5B2AEB11" w14:textId="77777777" w:rsidR="0023028E" w:rsidRPr="0023028E" w:rsidRDefault="0023028E" w:rsidP="0023028E">
      <w:pPr>
        <w:spacing w:after="120" w:line="240" w:lineRule="auto"/>
        <w:rPr>
          <w:rFonts w:cstheme="minorHAnsi"/>
          <w:b/>
          <w:bCs/>
          <w:caps/>
          <w:sz w:val="28"/>
          <w:szCs w:val="28"/>
          <w:u w:val="single"/>
          <w:lang w:val="el-GR"/>
        </w:rPr>
      </w:pPr>
      <w:r w:rsidRPr="0023028E">
        <w:rPr>
          <w:rFonts w:cstheme="minorHAnsi"/>
          <w:b/>
          <w:bCs/>
          <w:caps/>
          <w:sz w:val="28"/>
          <w:szCs w:val="28"/>
          <w:u w:val="single"/>
          <w:lang w:val="el-GR"/>
        </w:rPr>
        <w:t>Επεξεργασία και ανάλυση δεδομένων</w:t>
      </w:r>
    </w:p>
    <w:p w14:paraId="1888CE4F" w14:textId="77777777" w:rsidR="0023028E" w:rsidRPr="0023028E" w:rsidRDefault="0023028E" w:rsidP="0023028E">
      <w:pPr>
        <w:spacing w:after="0" w:line="240" w:lineRule="auto"/>
        <w:rPr>
          <w:rFonts w:cstheme="minorHAnsi"/>
          <w:b/>
          <w:bCs/>
          <w:sz w:val="24"/>
          <w:szCs w:val="24"/>
          <w:lang w:val="el-GR"/>
        </w:rPr>
      </w:pPr>
      <w:r w:rsidRPr="0023028E">
        <w:rPr>
          <w:rFonts w:cstheme="minorHAnsi"/>
          <w:b/>
          <w:bCs/>
          <w:sz w:val="24"/>
          <w:szCs w:val="24"/>
          <w:lang w:val="el-GR"/>
        </w:rPr>
        <w:t xml:space="preserve">Φανή </w:t>
      </w:r>
      <w:proofErr w:type="spellStart"/>
      <w:r w:rsidRPr="0023028E">
        <w:rPr>
          <w:rFonts w:cstheme="minorHAnsi"/>
          <w:b/>
          <w:bCs/>
          <w:sz w:val="24"/>
          <w:szCs w:val="24"/>
          <w:lang w:val="el-GR"/>
        </w:rPr>
        <w:t>Προβή</w:t>
      </w:r>
      <w:proofErr w:type="spellEnd"/>
      <w:r w:rsidRPr="0023028E">
        <w:rPr>
          <w:rFonts w:cstheme="minorHAnsi"/>
          <w:b/>
          <w:bCs/>
          <w:sz w:val="24"/>
          <w:szCs w:val="24"/>
          <w:lang w:val="el-GR"/>
        </w:rPr>
        <w:t xml:space="preserve">, </w:t>
      </w:r>
      <w:proofErr w:type="spellStart"/>
      <w:r w:rsidRPr="0023028E">
        <w:rPr>
          <w:rFonts w:cstheme="minorHAnsi"/>
          <w:b/>
          <w:bCs/>
          <w:sz w:val="24"/>
          <w:szCs w:val="24"/>
          <w:lang w:val="el-GR"/>
        </w:rPr>
        <w:t>Ma</w:t>
      </w:r>
      <w:proofErr w:type="spellEnd"/>
      <w:r w:rsidRPr="0023028E">
        <w:rPr>
          <w:rFonts w:cstheme="minorHAnsi"/>
          <w:b/>
          <w:bCs/>
          <w:sz w:val="24"/>
          <w:szCs w:val="24"/>
          <w:lang w:val="el-GR"/>
        </w:rPr>
        <w:t xml:space="preserve"> Social Research</w:t>
      </w:r>
    </w:p>
    <w:p w14:paraId="44CBD804" w14:textId="535F6C16" w:rsidR="0023028E" w:rsidRPr="00EF5E3E" w:rsidRDefault="0023028E" w:rsidP="0023028E">
      <w:pPr>
        <w:spacing w:after="0" w:line="240" w:lineRule="auto"/>
        <w:ind w:right="282"/>
        <w:rPr>
          <w:rFonts w:cstheme="minorHAnsi"/>
          <w:i/>
          <w:iCs/>
          <w:sz w:val="20"/>
          <w:szCs w:val="20"/>
        </w:rPr>
      </w:pPr>
      <w:r w:rsidRPr="0023028E">
        <w:rPr>
          <w:rFonts w:cstheme="minorHAnsi"/>
          <w:i/>
          <w:iCs/>
          <w:sz w:val="20"/>
          <w:szCs w:val="20"/>
        </w:rPr>
        <w:t>Επιστημονική Υπεύθυνη Παρατηρητηρίου Θεμάτων Αναπηρίας / Επιστημονικό Στέλεχος Ε.Σ.Α.μεΑ</w:t>
      </w:r>
    </w:p>
    <w:p w14:paraId="2B8E3EB5" w14:textId="77777777" w:rsidR="00EF5E3E" w:rsidRDefault="00EF5E3E" w:rsidP="0023028E">
      <w:pPr>
        <w:spacing w:before="240" w:after="0" w:line="240" w:lineRule="auto"/>
        <w:rPr>
          <w:rFonts w:cstheme="minorHAnsi"/>
          <w:lang w:val="el-G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494"/>
      </w:tblGrid>
      <w:tr w:rsidR="001B7216" w14:paraId="1B23CC4B" w14:textId="77777777" w:rsidTr="001B7216">
        <w:tc>
          <w:tcPr>
            <w:tcW w:w="8494" w:type="dxa"/>
            <w:shd w:val="clear" w:color="auto" w:fill="F2F2F2" w:themeFill="background1" w:themeFillShade="F2"/>
          </w:tcPr>
          <w:p w14:paraId="7CB93CC2" w14:textId="18E40822" w:rsidR="001B7216" w:rsidRPr="0023028E" w:rsidRDefault="001B7216" w:rsidP="001B7216">
            <w:pPr>
              <w:spacing w:before="120" w:after="120" w:line="240" w:lineRule="auto"/>
              <w:ind w:right="-1"/>
              <w:jc w:val="both"/>
              <w:rPr>
                <w:rFonts w:cstheme="minorHAnsi"/>
                <w:spacing w:val="-4"/>
                <w:sz w:val="21"/>
                <w:szCs w:val="21"/>
                <w:lang w:val="el-GR"/>
              </w:rPr>
            </w:pPr>
            <w:r w:rsidRPr="0023028E">
              <w:rPr>
                <w:rFonts w:cstheme="minorHAnsi"/>
                <w:spacing w:val="-4"/>
                <w:sz w:val="21"/>
                <w:szCs w:val="21"/>
                <w:lang w:val="el-GR"/>
              </w:rPr>
              <w:t xml:space="preserve">Τα Δελτία Στατιστικής Πληροφόρησης της Εθνικής Συνομοσπονδίας </w:t>
            </w:r>
            <w:r w:rsidR="0023028E">
              <w:rPr>
                <w:rFonts w:cstheme="minorHAnsi"/>
                <w:spacing w:val="-4"/>
                <w:sz w:val="21"/>
                <w:szCs w:val="21"/>
                <w:lang w:val="el-GR"/>
              </w:rPr>
              <w:t>Α</w:t>
            </w:r>
            <w:r w:rsidRPr="0023028E">
              <w:rPr>
                <w:rFonts w:cstheme="minorHAnsi"/>
                <w:spacing w:val="-4"/>
                <w:sz w:val="21"/>
                <w:szCs w:val="21"/>
                <w:lang w:val="el-GR"/>
              </w:rPr>
              <w:t xml:space="preserve">τόμων με </w:t>
            </w:r>
            <w:r w:rsidR="0023028E">
              <w:rPr>
                <w:rFonts w:cstheme="minorHAnsi"/>
                <w:spacing w:val="-4"/>
                <w:sz w:val="21"/>
                <w:szCs w:val="21"/>
                <w:lang w:val="el-GR"/>
              </w:rPr>
              <w:t>Α</w:t>
            </w:r>
            <w:r w:rsidRPr="0023028E">
              <w:rPr>
                <w:rFonts w:cstheme="minorHAnsi"/>
                <w:spacing w:val="-4"/>
                <w:sz w:val="21"/>
                <w:szCs w:val="21"/>
                <w:lang w:val="el-GR"/>
              </w:rPr>
              <w:t>ναπηρία (Ε.Σ.Α.μεΑ.) εντάσσονται στο Έργο «Παρατηρητήριο Θεμάτων Αναπηρίας» που χρηματοδοτείται από το Ευρωπαϊκό Κοινωνικό Ταμείο και από εθνικούς πόρους, με αντικείμενο την επιστημονική καταγραφή, τη μελέτη και την έρευνα σε θέματα αναπηρίας.</w:t>
            </w:r>
          </w:p>
          <w:p w14:paraId="695CC906" w14:textId="77777777" w:rsidR="001B7216" w:rsidRPr="0023028E" w:rsidRDefault="001B7216" w:rsidP="001B7216">
            <w:pPr>
              <w:spacing w:before="120" w:after="120" w:line="240" w:lineRule="auto"/>
              <w:ind w:right="-1"/>
              <w:jc w:val="both"/>
              <w:rPr>
                <w:rFonts w:cstheme="minorHAnsi"/>
                <w:spacing w:val="-4"/>
                <w:sz w:val="21"/>
                <w:szCs w:val="21"/>
                <w:lang w:val="el-GR"/>
              </w:rPr>
            </w:pPr>
            <w:r w:rsidRPr="0023028E">
              <w:rPr>
                <w:rFonts w:cstheme="minorHAnsi"/>
                <w:spacing w:val="-4"/>
                <w:sz w:val="21"/>
                <w:szCs w:val="21"/>
                <w:lang w:val="el-GR"/>
              </w:rPr>
              <w:t>Στόχος του Έργου αποτελεί η καθιέρωση του Παρατηρητηρίου ως βασική πηγή πληροφόρησης για τις εξελίξεις στο πεδίο της αναπηρίας. Συγκεντρώνοντας και αναλύοντας δεδομένα και πληροφόρηση από εγχώριες και διεθνείς πηγές, το Παρατηρητήριο συμβάλλει στην παρακολούθηση, στην προστασία και στην προώθηση των δικαιωμάτων των ατόμων με αναπηρία, χρόνιες παθήσεις και των οικογενειών τους.</w:t>
            </w:r>
          </w:p>
          <w:p w14:paraId="2798D069" w14:textId="77777777" w:rsidR="001B7216" w:rsidRPr="0023028E" w:rsidRDefault="001B7216" w:rsidP="001B7216">
            <w:pPr>
              <w:spacing w:before="120" w:after="120" w:line="240" w:lineRule="auto"/>
              <w:ind w:right="-1"/>
              <w:jc w:val="both"/>
              <w:rPr>
                <w:rFonts w:cstheme="minorHAnsi"/>
                <w:spacing w:val="-4"/>
                <w:sz w:val="21"/>
                <w:szCs w:val="21"/>
                <w:lang w:val="el-GR"/>
              </w:rPr>
            </w:pPr>
            <w:r w:rsidRPr="0023028E">
              <w:rPr>
                <w:rFonts w:cstheme="minorHAnsi"/>
                <w:spacing w:val="-4"/>
                <w:sz w:val="21"/>
                <w:szCs w:val="21"/>
                <w:lang w:val="el-GR"/>
              </w:rPr>
              <w:t>Με τον νόμο 4488/2017, το Παρατηρητήριο της Ε.Σ.Α.μεΑ. θεσμοθετείται ως ο βασικός συνομιλητής της Ελληνικής Στατιστικής Αρχής και των λοιπών φορέων του Ελληνικού Στατιστικού Συστήματος αναφορικά με την υποχρέωσή τους να αναπτύσσουν, να παράγουν και να διαδίδουν επίσημες στατιστικές σχετικά με τα άτομα με αναπηρία. Ειδικότερα, προβλέπεται ότι για τους σκοπούς του σχεδιασμού των ως άνω στατιστικών και της διάχυσης των παραγόμενων δεδομένων, οι αρμόδιοι φορείς τελούν σε διαβούλευση με το Παρατηρητήριο Θεμάτων Αναπηρίας της Εθνικής Συνομοσπονδίας Ατόμων με Αναπηρία.</w:t>
            </w:r>
          </w:p>
          <w:p w14:paraId="2C800ED5" w14:textId="77777777" w:rsidR="001B7216" w:rsidRPr="0023028E" w:rsidRDefault="001B7216" w:rsidP="001B7216">
            <w:pPr>
              <w:spacing w:before="120" w:after="120" w:line="240" w:lineRule="auto"/>
              <w:ind w:right="-1"/>
              <w:jc w:val="both"/>
              <w:rPr>
                <w:rFonts w:cstheme="minorHAnsi"/>
                <w:spacing w:val="-4"/>
                <w:sz w:val="21"/>
                <w:szCs w:val="21"/>
                <w:lang w:val="el-GR"/>
              </w:rPr>
            </w:pPr>
            <w:r w:rsidRPr="0023028E">
              <w:rPr>
                <w:rFonts w:cstheme="minorHAnsi"/>
                <w:spacing w:val="-4"/>
                <w:sz w:val="21"/>
                <w:szCs w:val="21"/>
                <w:lang w:val="el-GR"/>
              </w:rPr>
              <w:t>Σε αυτό το πλαίσιο συντάσσονται και δημοσιεύονται, ανά τακτά χρονικά διαστήματα, δελτία στατιστικής πληροφόρησης αφιερωμένα σε συγκριμένα θεματικά πεδία, όπου παρουσιάζονται τα σημαντικότερα ευρήματα και τάσεις όπως αυτά προκύπτουν μέσω της επεξεργασίας των διαθέσιμων στατιστικών στοιχείων.</w:t>
            </w:r>
          </w:p>
          <w:p w14:paraId="32E520B0" w14:textId="52C2040C" w:rsidR="001B7216" w:rsidRDefault="001B7216" w:rsidP="007E7C70">
            <w:pPr>
              <w:spacing w:before="120" w:after="120" w:line="240" w:lineRule="auto"/>
              <w:rPr>
                <w:rFonts w:cstheme="minorHAnsi"/>
                <w:lang w:val="el-GR"/>
              </w:rPr>
            </w:pPr>
            <w:r w:rsidRPr="0023028E">
              <w:rPr>
                <w:rFonts w:cstheme="minorHAnsi"/>
                <w:i/>
                <w:iCs/>
                <w:sz w:val="21"/>
                <w:szCs w:val="21"/>
                <w:lang w:val="el-GR"/>
              </w:rPr>
              <w:t xml:space="preserve">Για περισσότερες πληροφορίες για το Έργο, απευθυνθείτε στην Ιστοσελίδα του Έργου: </w:t>
            </w:r>
            <w:hyperlink r:id="rId10" w:tooltip="Επίσημη Ιστοσελίδα της Πράξης " w:history="1">
              <w:r w:rsidRPr="007E7C70">
                <w:rPr>
                  <w:rStyle w:val="Hyperlink"/>
                  <w:rFonts w:cstheme="minorHAnsi"/>
                  <w:i/>
                  <w:iCs/>
                  <w:color w:val="1C6194" w:themeColor="accent2" w:themeShade="BF"/>
                  <w:sz w:val="21"/>
                  <w:szCs w:val="21"/>
                  <w:u w:val="none"/>
                  <w:lang w:val="el-GR"/>
                </w:rPr>
                <w:t>www.paratiritirioanapirias.gr</w:t>
              </w:r>
            </w:hyperlink>
          </w:p>
        </w:tc>
      </w:tr>
    </w:tbl>
    <w:p w14:paraId="5BF29EA9" w14:textId="14CC9B1F" w:rsidR="0023028E" w:rsidRPr="00A95E35" w:rsidRDefault="0023028E" w:rsidP="0023028E">
      <w:pPr>
        <w:spacing w:before="120"/>
        <w:rPr>
          <w:sz w:val="20"/>
          <w:szCs w:val="20"/>
          <w:lang w:val="el-GR"/>
        </w:rPr>
      </w:pPr>
      <w:r w:rsidRPr="00A95E35">
        <w:rPr>
          <w:noProof/>
        </w:rPr>
        <w:drawing>
          <wp:anchor distT="0" distB="0" distL="114300" distR="114300" simplePos="0" relativeHeight="251664384" behindDoc="0" locked="0" layoutInCell="1" allowOverlap="1" wp14:anchorId="724D62A5" wp14:editId="65D9ACE8">
            <wp:simplePos x="0" y="0"/>
            <wp:positionH relativeFrom="column">
              <wp:posOffset>137795</wp:posOffset>
            </wp:positionH>
            <wp:positionV relativeFrom="paragraph">
              <wp:posOffset>314960</wp:posOffset>
            </wp:positionV>
            <wp:extent cx="914400" cy="914400"/>
            <wp:effectExtent l="0" t="0" r="0" b="0"/>
            <wp:wrapSquare wrapText="bothSides"/>
            <wp:docPr id="1543200339"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96057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914400" cy="914400"/>
                    </a:xfrm>
                    <a:prstGeom prst="rect">
                      <a:avLst/>
                    </a:prstGeom>
                    <a:noFill/>
                  </pic:spPr>
                </pic:pic>
              </a:graphicData>
            </a:graphic>
          </wp:anchor>
        </w:drawing>
      </w:r>
    </w:p>
    <w:p w14:paraId="05BDA12D" w14:textId="0C14CB6C" w:rsidR="0023028E" w:rsidRPr="00A95E35" w:rsidRDefault="0023028E" w:rsidP="0023028E">
      <w:pPr>
        <w:pBdr>
          <w:top w:val="single" w:sz="4" w:space="1" w:color="auto"/>
        </w:pBdr>
        <w:ind w:left="2127" w:right="707"/>
        <w:rPr>
          <w:sz w:val="20"/>
          <w:szCs w:val="20"/>
          <w:lang w:val="el-GR"/>
        </w:rPr>
      </w:pPr>
      <w:r w:rsidRPr="00A95E35">
        <w:rPr>
          <w:sz w:val="20"/>
          <w:szCs w:val="20"/>
          <w:lang w:val="el-GR"/>
        </w:rPr>
        <w:t xml:space="preserve">Προσβάσιμο αρχείο </w:t>
      </w:r>
      <w:r w:rsidRPr="00A95E35">
        <w:rPr>
          <w:sz w:val="20"/>
          <w:szCs w:val="20"/>
          <w:lang w:val="en-GB"/>
        </w:rPr>
        <w:t>Microsoft</w:t>
      </w:r>
      <w:r w:rsidRPr="00A95E35">
        <w:rPr>
          <w:sz w:val="20"/>
          <w:szCs w:val="20"/>
          <w:lang w:val="el-GR"/>
        </w:rPr>
        <w:t xml:space="preserve"> </w:t>
      </w:r>
      <w:r w:rsidRPr="00A95E35">
        <w:rPr>
          <w:sz w:val="20"/>
          <w:szCs w:val="20"/>
          <w:lang w:val="en-GB"/>
        </w:rPr>
        <w:t>Word</w:t>
      </w:r>
      <w:r w:rsidRPr="00A95E35">
        <w:rPr>
          <w:sz w:val="20"/>
          <w:szCs w:val="20"/>
          <w:lang w:val="el-GR"/>
        </w:rPr>
        <w:t xml:space="preserve"> (*.</w:t>
      </w:r>
      <w:r w:rsidRPr="00A95E35">
        <w:rPr>
          <w:sz w:val="20"/>
          <w:szCs w:val="20"/>
          <w:lang w:val="en-GB"/>
        </w:rPr>
        <w:t>docx</w:t>
      </w:r>
      <w:r w:rsidRPr="00A95E35">
        <w:rPr>
          <w:sz w:val="20"/>
          <w:szCs w:val="20"/>
          <w:lang w:val="el-GR"/>
        </w:rPr>
        <w:t>)</w:t>
      </w:r>
    </w:p>
    <w:p w14:paraId="56DCDE6A" w14:textId="77777777" w:rsidR="0023028E" w:rsidRPr="00A95E35" w:rsidRDefault="0023028E" w:rsidP="0023028E">
      <w:pPr>
        <w:pBdr>
          <w:bottom w:val="single" w:sz="4" w:space="1" w:color="auto"/>
        </w:pBdr>
        <w:ind w:left="2127" w:right="707"/>
        <w:rPr>
          <w:rFonts w:cstheme="minorHAnsi"/>
          <w:lang w:val="el-GR"/>
        </w:rPr>
      </w:pPr>
      <w:r w:rsidRPr="00A95E35">
        <w:rPr>
          <w:sz w:val="20"/>
          <w:szCs w:val="20"/>
          <w:lang w:val="el-GR"/>
        </w:rPr>
        <w:t xml:space="preserve">Το παρόν αρχείο ελέγχθηκε με το εργαλείο </w:t>
      </w:r>
      <w:r w:rsidRPr="00A95E35">
        <w:rPr>
          <w:i/>
          <w:sz w:val="20"/>
          <w:szCs w:val="20"/>
          <w:lang w:val="en-GB"/>
        </w:rPr>
        <w:t>Microsoft</w:t>
      </w:r>
      <w:r w:rsidRPr="00A95E35">
        <w:rPr>
          <w:i/>
          <w:sz w:val="20"/>
          <w:szCs w:val="20"/>
          <w:lang w:val="el-GR"/>
        </w:rPr>
        <w:t xml:space="preserve"> </w:t>
      </w:r>
      <w:r w:rsidRPr="00A95E35">
        <w:rPr>
          <w:i/>
          <w:sz w:val="20"/>
          <w:szCs w:val="20"/>
          <w:lang w:val="en-GB"/>
        </w:rPr>
        <w:t>Accessibility</w:t>
      </w:r>
      <w:r w:rsidRPr="00A95E35">
        <w:rPr>
          <w:i/>
          <w:sz w:val="20"/>
          <w:szCs w:val="20"/>
          <w:lang w:val="el-GR"/>
        </w:rPr>
        <w:t xml:space="preserve"> </w:t>
      </w:r>
      <w:r w:rsidRPr="00A95E35">
        <w:rPr>
          <w:i/>
          <w:sz w:val="20"/>
          <w:szCs w:val="20"/>
          <w:lang w:val="en-GB"/>
        </w:rPr>
        <w:t>Checker</w:t>
      </w:r>
      <w:r w:rsidRPr="00A95E35">
        <w:rPr>
          <w:i/>
          <w:sz w:val="20"/>
          <w:szCs w:val="20"/>
          <w:lang w:val="el-GR"/>
        </w:rPr>
        <w:t xml:space="preserve"> </w:t>
      </w:r>
      <w:r w:rsidRPr="00A95E35">
        <w:rPr>
          <w:sz w:val="20"/>
          <w:szCs w:val="20"/>
          <w:lang w:val="el-GR"/>
        </w:rPr>
        <w:t>και δεν βρέθηκαν θέματα προσβασιμότητας. Τα άτομα με αναπηρία δεν θα αντιμετωπίζουν δυσκολίες στην ανάγνωσή του.</w:t>
      </w:r>
    </w:p>
    <w:p w14:paraId="318C9C0F" w14:textId="543C5E44" w:rsidR="001B7216" w:rsidRDefault="001B7216" w:rsidP="0023028E">
      <w:pPr>
        <w:spacing w:before="720" w:after="0" w:line="240" w:lineRule="auto"/>
        <w:jc w:val="center"/>
        <w:rPr>
          <w:rFonts w:cstheme="minorHAnsi"/>
          <w:lang w:val="el-GR"/>
        </w:rPr>
      </w:pPr>
      <w:r>
        <w:rPr>
          <w:rFonts w:ascii="Aptos Light" w:hAnsi="Aptos Light"/>
          <w:noProof/>
          <w:color w:val="808080" w:themeColor="background1" w:themeShade="80"/>
          <w:sz w:val="32"/>
          <w:szCs w:val="32"/>
          <w:lang w:val="el-GR"/>
        </w:rPr>
        <w:drawing>
          <wp:inline distT="0" distB="0" distL="0" distR="0" wp14:anchorId="471EC217" wp14:editId="35F07C34">
            <wp:extent cx="5143500" cy="495300"/>
            <wp:effectExtent l="0" t="0" r="0" b="0"/>
            <wp:docPr id="989087849" name="Picture 4" descr="Λογότυπο Προγράμματος:&#10;Πρόγραμμα &quot;Ανθρώπινο Δυναμικό και Κοινωνική Συνοχή&quot;.&#10;Με τη συγχρηματοδότηση της Ευρωπαϊκής Ένωσης.&#10;ΕΣΠΑ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33752" name="Picture 4" descr="Λογότυπο Προγράμματος:&#10;Πρόγραμμα &quot;Ανθρώπινο Δυναμικό και Κοινωνική Συνοχή&quot;.&#10;Με τη συγχρηματοδότηση της Ευρωπαϊκής Ένωσης.&#10;ΕΣΠΑ 2021-202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818"/>
                    <a:stretch>
                      <a:fillRect/>
                    </a:stretch>
                  </pic:blipFill>
                  <pic:spPr bwMode="auto">
                    <a:xfrm>
                      <a:off x="0" y="0"/>
                      <a:ext cx="5143500" cy="495300"/>
                    </a:xfrm>
                    <a:prstGeom prst="rect">
                      <a:avLst/>
                    </a:prstGeom>
                    <a:noFill/>
                    <a:ln>
                      <a:noFill/>
                    </a:ln>
                    <a:extLst>
                      <a:ext uri="{53640926-AAD7-44D8-BBD7-CCE9431645EC}">
                        <a14:shadowObscured xmlns:a14="http://schemas.microsoft.com/office/drawing/2010/main"/>
                      </a:ext>
                    </a:extLst>
                  </pic:spPr>
                </pic:pic>
              </a:graphicData>
            </a:graphic>
          </wp:inline>
        </w:drawing>
      </w:r>
    </w:p>
    <w:p w14:paraId="1660AF53" w14:textId="77777777" w:rsidR="001B7216" w:rsidRPr="00EF5E3E" w:rsidRDefault="001B7216">
      <w:pPr>
        <w:spacing w:after="0" w:line="240" w:lineRule="auto"/>
        <w:rPr>
          <w:rFonts w:cstheme="minorHAnsi"/>
          <w:lang w:val="el-GR"/>
        </w:rPr>
      </w:pPr>
    </w:p>
    <w:p w14:paraId="40D52AD9" w14:textId="77777777" w:rsidR="001B7216" w:rsidRDefault="001B7216" w:rsidP="001B7216">
      <w:pPr>
        <w:spacing w:after="0" w:line="240" w:lineRule="auto"/>
        <w:rPr>
          <w:lang w:val="el-GR"/>
        </w:rPr>
        <w:sectPr w:rsidR="001B7216" w:rsidSect="00EF5E3E">
          <w:headerReference w:type="default" r:id="rId12"/>
          <w:headerReference w:type="first" r:id="rId13"/>
          <w:footerReference w:type="first" r:id="rId14"/>
          <w:pgSz w:w="11906" w:h="16838"/>
          <w:pgMar w:top="1985" w:right="1559" w:bottom="1440" w:left="1843" w:header="0" w:footer="0" w:gutter="0"/>
          <w:cols w:space="708"/>
          <w:titlePg/>
          <w:docGrid w:linePitch="360"/>
        </w:sectPr>
      </w:pPr>
    </w:p>
    <w:sdt>
      <w:sdtPr>
        <w:rPr>
          <w:rFonts w:asciiTheme="minorHAnsi" w:eastAsiaTheme="minorHAnsi" w:hAnsiTheme="minorHAnsi" w:cstheme="minorBidi"/>
          <w:color w:val="auto"/>
          <w:sz w:val="22"/>
          <w:szCs w:val="22"/>
          <w:lang w:val="el-GR" w:eastAsia="en-US"/>
        </w:rPr>
        <w:id w:val="1997913206"/>
        <w:docPartObj>
          <w:docPartGallery w:val="Table of Contents"/>
          <w:docPartUnique/>
        </w:docPartObj>
      </w:sdtPr>
      <w:sdtEndPr>
        <w:rPr>
          <w:b/>
          <w:bCs/>
        </w:rPr>
      </w:sdtEndPr>
      <w:sdtContent>
        <w:p w14:paraId="6AA03DE4" w14:textId="11B72ECC" w:rsidR="00C761A3" w:rsidRPr="007E1E34" w:rsidRDefault="00C761A3" w:rsidP="007E1E34">
          <w:pPr>
            <w:pStyle w:val="TOCHeading"/>
            <w:spacing w:after="240"/>
            <w:rPr>
              <w:b/>
              <w:bCs/>
              <w:color w:val="auto"/>
              <w:u w:val="single"/>
            </w:rPr>
          </w:pPr>
          <w:r w:rsidRPr="007E1E34">
            <w:rPr>
              <w:b/>
              <w:bCs/>
              <w:color w:val="auto"/>
              <w:u w:val="single"/>
              <w:lang w:val="el-GR"/>
            </w:rPr>
            <w:t>Πίνακας περιεχομένων</w:t>
          </w:r>
        </w:p>
        <w:p w14:paraId="32DB8845" w14:textId="641E420C" w:rsidR="007E7C70" w:rsidRDefault="00C761A3">
          <w:pPr>
            <w:pStyle w:val="TOC1"/>
            <w:rPr>
              <w:rFonts w:eastAsiaTheme="minorEastAsia"/>
              <w:noProof/>
              <w:kern w:val="2"/>
              <w:sz w:val="24"/>
              <w:szCs w:val="24"/>
              <w:lang w:bidi="he-IL"/>
              <w14:ligatures w14:val="standardContextual"/>
            </w:rPr>
          </w:pPr>
          <w:r>
            <w:fldChar w:fldCharType="begin"/>
          </w:r>
          <w:r>
            <w:instrText xml:space="preserve"> TOC \o "1-3" \h \z \u </w:instrText>
          </w:r>
          <w:r>
            <w:fldChar w:fldCharType="separate"/>
          </w:r>
          <w:hyperlink w:anchor="_Toc222493313" w:history="1">
            <w:r w:rsidR="007E7C70" w:rsidRPr="007E7C70">
              <w:rPr>
                <w:rStyle w:val="Hyperlink"/>
                <w:b/>
                <w:bCs/>
                <w:noProof/>
                <w:color w:val="auto"/>
                <w:lang w:val="el-GR"/>
              </w:rPr>
              <w:t>Εισαγωγή</w:t>
            </w:r>
            <w:r w:rsidR="007E7C70">
              <w:rPr>
                <w:noProof/>
                <w:webHidden/>
              </w:rPr>
              <w:tab/>
            </w:r>
            <w:r w:rsidR="007E7C70">
              <w:rPr>
                <w:noProof/>
                <w:webHidden/>
              </w:rPr>
              <w:fldChar w:fldCharType="begin"/>
            </w:r>
            <w:r w:rsidR="007E7C70">
              <w:rPr>
                <w:noProof/>
                <w:webHidden/>
              </w:rPr>
              <w:instrText xml:space="preserve"> PAGEREF _Toc222493313 \h </w:instrText>
            </w:r>
            <w:r w:rsidR="007E7C70">
              <w:rPr>
                <w:noProof/>
                <w:webHidden/>
              </w:rPr>
            </w:r>
            <w:r w:rsidR="007E7C70">
              <w:rPr>
                <w:noProof/>
                <w:webHidden/>
              </w:rPr>
              <w:fldChar w:fldCharType="separate"/>
            </w:r>
            <w:r w:rsidR="007E7C70">
              <w:rPr>
                <w:noProof/>
                <w:webHidden/>
              </w:rPr>
              <w:t>2</w:t>
            </w:r>
            <w:r w:rsidR="007E7C70">
              <w:rPr>
                <w:noProof/>
                <w:webHidden/>
              </w:rPr>
              <w:fldChar w:fldCharType="end"/>
            </w:r>
          </w:hyperlink>
        </w:p>
        <w:p w14:paraId="2B078B6C" w14:textId="520716D4" w:rsidR="007E7C70" w:rsidRDefault="007E7C70">
          <w:pPr>
            <w:pStyle w:val="TOC1"/>
            <w:rPr>
              <w:rFonts w:eastAsiaTheme="minorEastAsia"/>
              <w:noProof/>
              <w:kern w:val="2"/>
              <w:sz w:val="24"/>
              <w:szCs w:val="24"/>
              <w:lang w:bidi="he-IL"/>
              <w14:ligatures w14:val="standardContextual"/>
            </w:rPr>
          </w:pPr>
          <w:hyperlink w:anchor="_Toc222493314" w:history="1">
            <w:r w:rsidRPr="007E7C70">
              <w:rPr>
                <w:rStyle w:val="Hyperlink"/>
                <w:b/>
                <w:bCs/>
                <w:noProof/>
                <w:color w:val="auto"/>
                <w:lang w:val="el-GR"/>
              </w:rPr>
              <w:t>Βασικά Ευρήματα</w:t>
            </w:r>
            <w:r>
              <w:rPr>
                <w:noProof/>
                <w:webHidden/>
              </w:rPr>
              <w:tab/>
            </w:r>
            <w:r>
              <w:rPr>
                <w:noProof/>
                <w:webHidden/>
              </w:rPr>
              <w:fldChar w:fldCharType="begin"/>
            </w:r>
            <w:r>
              <w:rPr>
                <w:noProof/>
                <w:webHidden/>
              </w:rPr>
              <w:instrText xml:space="preserve"> PAGEREF _Toc222493314 \h </w:instrText>
            </w:r>
            <w:r>
              <w:rPr>
                <w:noProof/>
                <w:webHidden/>
              </w:rPr>
            </w:r>
            <w:r>
              <w:rPr>
                <w:noProof/>
                <w:webHidden/>
              </w:rPr>
              <w:fldChar w:fldCharType="separate"/>
            </w:r>
            <w:r>
              <w:rPr>
                <w:noProof/>
                <w:webHidden/>
              </w:rPr>
              <w:t>4</w:t>
            </w:r>
            <w:r>
              <w:rPr>
                <w:noProof/>
                <w:webHidden/>
              </w:rPr>
              <w:fldChar w:fldCharType="end"/>
            </w:r>
          </w:hyperlink>
        </w:p>
        <w:p w14:paraId="5B7C653B" w14:textId="28AAB7F4" w:rsidR="007E7C70" w:rsidRDefault="007E7C70">
          <w:pPr>
            <w:pStyle w:val="TOC1"/>
            <w:rPr>
              <w:rFonts w:eastAsiaTheme="minorEastAsia"/>
              <w:noProof/>
              <w:kern w:val="2"/>
              <w:sz w:val="24"/>
              <w:szCs w:val="24"/>
              <w:lang w:bidi="he-IL"/>
              <w14:ligatures w14:val="standardContextual"/>
            </w:rPr>
          </w:pPr>
          <w:hyperlink w:anchor="_Toc222493315" w:history="1">
            <w:r w:rsidRPr="007E7C70">
              <w:rPr>
                <w:rStyle w:val="Hyperlink"/>
                <w:b/>
                <w:bCs/>
                <w:noProof/>
                <w:color w:val="auto"/>
                <w:lang w:val="el-GR"/>
              </w:rPr>
              <w:t>Βασικά Συμπεράσματα</w:t>
            </w:r>
            <w:r>
              <w:rPr>
                <w:noProof/>
                <w:webHidden/>
              </w:rPr>
              <w:tab/>
            </w:r>
            <w:r>
              <w:rPr>
                <w:noProof/>
                <w:webHidden/>
              </w:rPr>
              <w:fldChar w:fldCharType="begin"/>
            </w:r>
            <w:r>
              <w:rPr>
                <w:noProof/>
                <w:webHidden/>
              </w:rPr>
              <w:instrText xml:space="preserve"> PAGEREF _Toc222493315 \h </w:instrText>
            </w:r>
            <w:r>
              <w:rPr>
                <w:noProof/>
                <w:webHidden/>
              </w:rPr>
            </w:r>
            <w:r>
              <w:rPr>
                <w:noProof/>
                <w:webHidden/>
              </w:rPr>
              <w:fldChar w:fldCharType="separate"/>
            </w:r>
            <w:r>
              <w:rPr>
                <w:noProof/>
                <w:webHidden/>
              </w:rPr>
              <w:t>6</w:t>
            </w:r>
            <w:r>
              <w:rPr>
                <w:noProof/>
                <w:webHidden/>
              </w:rPr>
              <w:fldChar w:fldCharType="end"/>
            </w:r>
          </w:hyperlink>
        </w:p>
        <w:p w14:paraId="4E446EB6" w14:textId="4FF9881E" w:rsidR="007E7C70" w:rsidRDefault="007E7C70">
          <w:pPr>
            <w:pStyle w:val="TOC1"/>
            <w:rPr>
              <w:rFonts w:eastAsiaTheme="minorEastAsia"/>
              <w:noProof/>
              <w:kern w:val="2"/>
              <w:sz w:val="24"/>
              <w:szCs w:val="24"/>
              <w:lang w:bidi="he-IL"/>
              <w14:ligatures w14:val="standardContextual"/>
            </w:rPr>
          </w:pPr>
          <w:hyperlink w:anchor="_Toc222493316" w:history="1">
            <w:r w:rsidRPr="007E7C70">
              <w:rPr>
                <w:rStyle w:val="Hyperlink"/>
                <w:b/>
                <w:bCs/>
                <w:noProof/>
                <w:color w:val="auto"/>
                <w:lang w:val="el-GR"/>
              </w:rPr>
              <w:t>Ανάλυση Ευρημάτων</w:t>
            </w:r>
            <w:r>
              <w:rPr>
                <w:noProof/>
                <w:webHidden/>
              </w:rPr>
              <w:tab/>
            </w:r>
            <w:r>
              <w:rPr>
                <w:noProof/>
                <w:webHidden/>
              </w:rPr>
              <w:fldChar w:fldCharType="begin"/>
            </w:r>
            <w:r>
              <w:rPr>
                <w:noProof/>
                <w:webHidden/>
              </w:rPr>
              <w:instrText xml:space="preserve"> PAGEREF _Toc222493316 \h </w:instrText>
            </w:r>
            <w:r>
              <w:rPr>
                <w:noProof/>
                <w:webHidden/>
              </w:rPr>
            </w:r>
            <w:r>
              <w:rPr>
                <w:noProof/>
                <w:webHidden/>
              </w:rPr>
              <w:fldChar w:fldCharType="separate"/>
            </w:r>
            <w:r>
              <w:rPr>
                <w:noProof/>
                <w:webHidden/>
              </w:rPr>
              <w:t>7</w:t>
            </w:r>
            <w:r>
              <w:rPr>
                <w:noProof/>
                <w:webHidden/>
              </w:rPr>
              <w:fldChar w:fldCharType="end"/>
            </w:r>
          </w:hyperlink>
        </w:p>
        <w:p w14:paraId="325813A2" w14:textId="7F3EAB50" w:rsidR="007E7C70" w:rsidRDefault="007E7C70">
          <w:pPr>
            <w:pStyle w:val="TOC2"/>
            <w:tabs>
              <w:tab w:val="left" w:pos="720"/>
              <w:tab w:val="right" w:leader="dot" w:pos="8494"/>
            </w:tabs>
            <w:rPr>
              <w:rFonts w:eastAsiaTheme="minorEastAsia"/>
              <w:noProof/>
              <w:kern w:val="2"/>
              <w:sz w:val="24"/>
              <w:szCs w:val="24"/>
              <w:lang w:bidi="he-IL"/>
              <w14:ligatures w14:val="standardContextual"/>
            </w:rPr>
          </w:pPr>
          <w:hyperlink w:anchor="_Toc222493317" w:history="1">
            <w:r w:rsidRPr="007E7C70">
              <w:rPr>
                <w:rStyle w:val="Hyperlink"/>
                <w:noProof/>
                <w:color w:val="auto"/>
              </w:rPr>
              <w:t>1.</w:t>
            </w:r>
            <w:r>
              <w:rPr>
                <w:rFonts w:eastAsiaTheme="minorEastAsia"/>
                <w:noProof/>
                <w:kern w:val="2"/>
                <w:sz w:val="24"/>
                <w:szCs w:val="24"/>
                <w:lang w:bidi="he-IL"/>
                <w14:ligatures w14:val="standardContextual"/>
              </w:rPr>
              <w:tab/>
            </w:r>
            <w:r w:rsidRPr="007E7C70">
              <w:rPr>
                <w:rStyle w:val="Hyperlink"/>
                <w:noProof/>
                <w:color w:val="auto"/>
              </w:rPr>
              <w:t>Παροχές κοινωνικής προστασίας</w:t>
            </w:r>
            <w:r>
              <w:rPr>
                <w:noProof/>
                <w:webHidden/>
              </w:rPr>
              <w:tab/>
            </w:r>
            <w:r>
              <w:rPr>
                <w:noProof/>
                <w:webHidden/>
              </w:rPr>
              <w:fldChar w:fldCharType="begin"/>
            </w:r>
            <w:r>
              <w:rPr>
                <w:noProof/>
                <w:webHidden/>
              </w:rPr>
              <w:instrText xml:space="preserve"> PAGEREF _Toc222493317 \h </w:instrText>
            </w:r>
            <w:r>
              <w:rPr>
                <w:noProof/>
                <w:webHidden/>
              </w:rPr>
            </w:r>
            <w:r>
              <w:rPr>
                <w:noProof/>
                <w:webHidden/>
              </w:rPr>
              <w:fldChar w:fldCharType="separate"/>
            </w:r>
            <w:r>
              <w:rPr>
                <w:noProof/>
                <w:webHidden/>
              </w:rPr>
              <w:t>7</w:t>
            </w:r>
            <w:r>
              <w:rPr>
                <w:noProof/>
                <w:webHidden/>
              </w:rPr>
              <w:fldChar w:fldCharType="end"/>
            </w:r>
          </w:hyperlink>
        </w:p>
        <w:p w14:paraId="77F60DAF" w14:textId="68F5BC6A" w:rsidR="007E7C70" w:rsidRDefault="007E7C70">
          <w:pPr>
            <w:pStyle w:val="TOC2"/>
            <w:tabs>
              <w:tab w:val="left" w:pos="720"/>
              <w:tab w:val="right" w:leader="dot" w:pos="8494"/>
            </w:tabs>
            <w:rPr>
              <w:rFonts w:eastAsiaTheme="minorEastAsia"/>
              <w:noProof/>
              <w:kern w:val="2"/>
              <w:sz w:val="24"/>
              <w:szCs w:val="24"/>
              <w:lang w:bidi="he-IL"/>
              <w14:ligatures w14:val="standardContextual"/>
            </w:rPr>
          </w:pPr>
          <w:hyperlink w:anchor="_Toc222493318" w:history="1">
            <w:r w:rsidRPr="007E7C70">
              <w:rPr>
                <w:rStyle w:val="Hyperlink"/>
                <w:noProof/>
                <w:color w:val="auto"/>
              </w:rPr>
              <w:t>2.</w:t>
            </w:r>
            <w:r>
              <w:rPr>
                <w:rFonts w:eastAsiaTheme="minorEastAsia"/>
                <w:noProof/>
                <w:kern w:val="2"/>
                <w:sz w:val="24"/>
                <w:szCs w:val="24"/>
                <w:lang w:bidi="he-IL"/>
                <w14:ligatures w14:val="standardContextual"/>
              </w:rPr>
              <w:tab/>
            </w:r>
            <w:r w:rsidRPr="007E7C70">
              <w:rPr>
                <w:rStyle w:val="Hyperlink"/>
                <w:noProof/>
                <w:color w:val="auto"/>
              </w:rPr>
              <w:t>Αποτελεσματικότητα των κοινωνικών παροχών στη μείωση της φτώχειας</w:t>
            </w:r>
            <w:r>
              <w:rPr>
                <w:noProof/>
                <w:webHidden/>
              </w:rPr>
              <w:tab/>
            </w:r>
            <w:r>
              <w:rPr>
                <w:noProof/>
                <w:webHidden/>
              </w:rPr>
              <w:fldChar w:fldCharType="begin"/>
            </w:r>
            <w:r>
              <w:rPr>
                <w:noProof/>
                <w:webHidden/>
              </w:rPr>
              <w:instrText xml:space="preserve"> PAGEREF _Toc222493318 \h </w:instrText>
            </w:r>
            <w:r>
              <w:rPr>
                <w:noProof/>
                <w:webHidden/>
              </w:rPr>
            </w:r>
            <w:r>
              <w:rPr>
                <w:noProof/>
                <w:webHidden/>
              </w:rPr>
              <w:fldChar w:fldCharType="separate"/>
            </w:r>
            <w:r>
              <w:rPr>
                <w:noProof/>
                <w:webHidden/>
              </w:rPr>
              <w:t>10</w:t>
            </w:r>
            <w:r>
              <w:rPr>
                <w:noProof/>
                <w:webHidden/>
              </w:rPr>
              <w:fldChar w:fldCharType="end"/>
            </w:r>
          </w:hyperlink>
        </w:p>
        <w:p w14:paraId="3577D8A1" w14:textId="559E7CEB" w:rsidR="007E7C70" w:rsidRDefault="007E7C70">
          <w:pPr>
            <w:pStyle w:val="TOC2"/>
            <w:tabs>
              <w:tab w:val="left" w:pos="720"/>
              <w:tab w:val="right" w:leader="dot" w:pos="8494"/>
            </w:tabs>
            <w:rPr>
              <w:rFonts w:eastAsiaTheme="minorEastAsia"/>
              <w:noProof/>
              <w:kern w:val="2"/>
              <w:sz w:val="24"/>
              <w:szCs w:val="24"/>
              <w:lang w:bidi="he-IL"/>
              <w14:ligatures w14:val="standardContextual"/>
            </w:rPr>
          </w:pPr>
          <w:hyperlink w:anchor="_Toc222493319" w:history="1">
            <w:r w:rsidRPr="007E7C70">
              <w:rPr>
                <w:rStyle w:val="Hyperlink"/>
                <w:noProof/>
                <w:color w:val="auto"/>
              </w:rPr>
              <w:t>3.</w:t>
            </w:r>
            <w:r>
              <w:rPr>
                <w:rFonts w:eastAsiaTheme="minorEastAsia"/>
                <w:noProof/>
                <w:kern w:val="2"/>
                <w:sz w:val="24"/>
                <w:szCs w:val="24"/>
                <w:lang w:bidi="he-IL"/>
                <w14:ligatures w14:val="standardContextual"/>
              </w:rPr>
              <w:tab/>
            </w:r>
            <w:r w:rsidRPr="007E7C70">
              <w:rPr>
                <w:rStyle w:val="Hyperlink"/>
                <w:noProof/>
                <w:color w:val="auto"/>
              </w:rPr>
              <w:t>Κατανομή παροχών κοινωνικής προστασίας ανά λειτουργία</w:t>
            </w:r>
            <w:r>
              <w:rPr>
                <w:noProof/>
                <w:webHidden/>
              </w:rPr>
              <w:tab/>
            </w:r>
            <w:r>
              <w:rPr>
                <w:noProof/>
                <w:webHidden/>
              </w:rPr>
              <w:fldChar w:fldCharType="begin"/>
            </w:r>
            <w:r>
              <w:rPr>
                <w:noProof/>
                <w:webHidden/>
              </w:rPr>
              <w:instrText xml:space="preserve"> PAGEREF _Toc222493319 \h </w:instrText>
            </w:r>
            <w:r>
              <w:rPr>
                <w:noProof/>
                <w:webHidden/>
              </w:rPr>
            </w:r>
            <w:r>
              <w:rPr>
                <w:noProof/>
                <w:webHidden/>
              </w:rPr>
              <w:fldChar w:fldCharType="separate"/>
            </w:r>
            <w:r>
              <w:rPr>
                <w:noProof/>
                <w:webHidden/>
              </w:rPr>
              <w:t>11</w:t>
            </w:r>
            <w:r>
              <w:rPr>
                <w:noProof/>
                <w:webHidden/>
              </w:rPr>
              <w:fldChar w:fldCharType="end"/>
            </w:r>
          </w:hyperlink>
        </w:p>
        <w:p w14:paraId="51BE5B40" w14:textId="603FAD6E" w:rsidR="007E7C70" w:rsidRDefault="007E7C70">
          <w:pPr>
            <w:pStyle w:val="TOC2"/>
            <w:tabs>
              <w:tab w:val="left" w:pos="720"/>
              <w:tab w:val="right" w:leader="dot" w:pos="8494"/>
            </w:tabs>
            <w:rPr>
              <w:rFonts w:eastAsiaTheme="minorEastAsia"/>
              <w:noProof/>
              <w:kern w:val="2"/>
              <w:sz w:val="24"/>
              <w:szCs w:val="24"/>
              <w:lang w:bidi="he-IL"/>
              <w14:ligatures w14:val="standardContextual"/>
            </w:rPr>
          </w:pPr>
          <w:hyperlink w:anchor="_Toc222493320" w:history="1">
            <w:r w:rsidRPr="007E7C70">
              <w:rPr>
                <w:rStyle w:val="Hyperlink"/>
                <w:noProof/>
                <w:color w:val="auto"/>
              </w:rPr>
              <w:t>4.</w:t>
            </w:r>
            <w:r>
              <w:rPr>
                <w:rFonts w:eastAsiaTheme="minorEastAsia"/>
                <w:noProof/>
                <w:kern w:val="2"/>
                <w:sz w:val="24"/>
                <w:szCs w:val="24"/>
                <w:lang w:bidi="he-IL"/>
                <w14:ligatures w14:val="standardContextual"/>
              </w:rPr>
              <w:tab/>
            </w:r>
            <w:r w:rsidRPr="007E7C70">
              <w:rPr>
                <w:rStyle w:val="Hyperlink"/>
                <w:noProof/>
                <w:color w:val="auto"/>
              </w:rPr>
              <w:t>Δαπάνες για κοινωνικές παροχές για την «Αναπηρία»</w:t>
            </w:r>
            <w:r>
              <w:rPr>
                <w:noProof/>
                <w:webHidden/>
              </w:rPr>
              <w:tab/>
            </w:r>
            <w:r>
              <w:rPr>
                <w:noProof/>
                <w:webHidden/>
              </w:rPr>
              <w:fldChar w:fldCharType="begin"/>
            </w:r>
            <w:r>
              <w:rPr>
                <w:noProof/>
                <w:webHidden/>
              </w:rPr>
              <w:instrText xml:space="preserve"> PAGEREF _Toc222493320 \h </w:instrText>
            </w:r>
            <w:r>
              <w:rPr>
                <w:noProof/>
                <w:webHidden/>
              </w:rPr>
            </w:r>
            <w:r>
              <w:rPr>
                <w:noProof/>
                <w:webHidden/>
              </w:rPr>
              <w:fldChar w:fldCharType="separate"/>
            </w:r>
            <w:r>
              <w:rPr>
                <w:noProof/>
                <w:webHidden/>
              </w:rPr>
              <w:t>12</w:t>
            </w:r>
            <w:r>
              <w:rPr>
                <w:noProof/>
                <w:webHidden/>
              </w:rPr>
              <w:fldChar w:fldCharType="end"/>
            </w:r>
          </w:hyperlink>
        </w:p>
        <w:p w14:paraId="0EBF7A06" w14:textId="794E4771" w:rsidR="007E7C70" w:rsidRDefault="007E7C70">
          <w:pPr>
            <w:pStyle w:val="TOC2"/>
            <w:tabs>
              <w:tab w:val="left" w:pos="720"/>
              <w:tab w:val="right" w:leader="dot" w:pos="8494"/>
            </w:tabs>
            <w:rPr>
              <w:rFonts w:eastAsiaTheme="minorEastAsia"/>
              <w:noProof/>
              <w:kern w:val="2"/>
              <w:sz w:val="24"/>
              <w:szCs w:val="24"/>
              <w:lang w:bidi="he-IL"/>
              <w14:ligatures w14:val="standardContextual"/>
            </w:rPr>
          </w:pPr>
          <w:hyperlink w:anchor="_Toc222493321" w:history="1">
            <w:r w:rsidRPr="007E7C70">
              <w:rPr>
                <w:rStyle w:val="Hyperlink"/>
                <w:noProof/>
                <w:color w:val="auto"/>
              </w:rPr>
              <w:t>5.</w:t>
            </w:r>
            <w:r>
              <w:rPr>
                <w:rFonts w:eastAsiaTheme="minorEastAsia"/>
                <w:noProof/>
                <w:kern w:val="2"/>
                <w:sz w:val="24"/>
                <w:szCs w:val="24"/>
                <w:lang w:bidi="he-IL"/>
                <w14:ligatures w14:val="standardContextual"/>
              </w:rPr>
              <w:tab/>
            </w:r>
            <w:r w:rsidRPr="007E7C70">
              <w:rPr>
                <w:rStyle w:val="Hyperlink"/>
                <w:noProof/>
                <w:color w:val="auto"/>
              </w:rPr>
              <w:t>Αποτελεσματικότητα των κοινωνικών παροχών για την αναπηρία στη μείωση της φτώχειας των ατόμων με αναπηρία</w:t>
            </w:r>
            <w:r>
              <w:rPr>
                <w:noProof/>
                <w:webHidden/>
              </w:rPr>
              <w:tab/>
            </w:r>
            <w:r>
              <w:rPr>
                <w:noProof/>
                <w:webHidden/>
              </w:rPr>
              <w:fldChar w:fldCharType="begin"/>
            </w:r>
            <w:r>
              <w:rPr>
                <w:noProof/>
                <w:webHidden/>
              </w:rPr>
              <w:instrText xml:space="preserve"> PAGEREF _Toc222493321 \h </w:instrText>
            </w:r>
            <w:r>
              <w:rPr>
                <w:noProof/>
                <w:webHidden/>
              </w:rPr>
            </w:r>
            <w:r>
              <w:rPr>
                <w:noProof/>
                <w:webHidden/>
              </w:rPr>
              <w:fldChar w:fldCharType="separate"/>
            </w:r>
            <w:r>
              <w:rPr>
                <w:noProof/>
                <w:webHidden/>
              </w:rPr>
              <w:t>18</w:t>
            </w:r>
            <w:r>
              <w:rPr>
                <w:noProof/>
                <w:webHidden/>
              </w:rPr>
              <w:fldChar w:fldCharType="end"/>
            </w:r>
          </w:hyperlink>
        </w:p>
        <w:p w14:paraId="20733BC2" w14:textId="62B8EE80" w:rsidR="00C761A3" w:rsidRDefault="00C761A3">
          <w:r>
            <w:rPr>
              <w:b/>
              <w:bCs/>
              <w:lang w:val="el-GR"/>
            </w:rPr>
            <w:fldChar w:fldCharType="end"/>
          </w:r>
        </w:p>
      </w:sdtContent>
    </w:sdt>
    <w:p w14:paraId="2A4ACE28" w14:textId="52B3EF85" w:rsidR="007E7C70" w:rsidRPr="007E1E34" w:rsidRDefault="007E7C70" w:rsidP="007E7C70">
      <w:pPr>
        <w:spacing w:before="240"/>
        <w:jc w:val="center"/>
        <w:rPr>
          <w:rFonts w:asciiTheme="majorHAnsi" w:eastAsiaTheme="majorEastAsia" w:hAnsiTheme="majorHAnsi" w:cstheme="majorBidi"/>
          <w:b/>
          <w:bCs/>
          <w:sz w:val="28"/>
          <w:szCs w:val="28"/>
          <w:u w:val="single"/>
          <w:lang w:val="el-GR" w:eastAsia="de-DE"/>
        </w:rPr>
      </w:pPr>
      <w:r>
        <w:rPr>
          <w:rFonts w:asciiTheme="majorHAnsi" w:eastAsiaTheme="majorEastAsia" w:hAnsiTheme="majorHAnsi" w:cstheme="majorBidi"/>
          <w:b/>
          <w:bCs/>
          <w:sz w:val="28"/>
          <w:szCs w:val="28"/>
          <w:u w:val="single"/>
          <w:lang w:val="el-GR" w:eastAsia="de-DE"/>
        </w:rPr>
        <w:t>Γραφήματα</w:t>
      </w:r>
    </w:p>
    <w:p w14:paraId="30DD7A62" w14:textId="6DD5EBA5" w:rsidR="007E7C70" w:rsidRPr="007E7C70" w:rsidRDefault="007E7C70" w:rsidP="007E7C70">
      <w:pPr>
        <w:pStyle w:val="TableofFigures"/>
        <w:tabs>
          <w:tab w:val="right" w:leader="dot" w:pos="8494"/>
        </w:tabs>
        <w:spacing w:after="120"/>
        <w:rPr>
          <w:rFonts w:eastAsiaTheme="minorEastAsia"/>
          <w:noProof/>
          <w:kern w:val="2"/>
          <w:sz w:val="24"/>
          <w:szCs w:val="24"/>
          <w:lang w:bidi="he-IL"/>
          <w14:ligatures w14:val="standardContextual"/>
        </w:rPr>
      </w:pPr>
      <w:r>
        <w:rPr>
          <w:rFonts w:asciiTheme="majorHAnsi" w:eastAsiaTheme="majorEastAsia" w:hAnsiTheme="majorHAnsi" w:cstheme="majorBidi"/>
          <w:b/>
          <w:bCs/>
          <w:sz w:val="28"/>
          <w:szCs w:val="28"/>
          <w:u w:val="single"/>
          <w:lang w:val="el-GR" w:eastAsia="de-DE"/>
        </w:rPr>
        <w:fldChar w:fldCharType="begin"/>
      </w:r>
      <w:r>
        <w:rPr>
          <w:rFonts w:asciiTheme="majorHAnsi" w:eastAsiaTheme="majorEastAsia" w:hAnsiTheme="majorHAnsi" w:cstheme="majorBidi"/>
          <w:b/>
          <w:bCs/>
          <w:sz w:val="28"/>
          <w:szCs w:val="28"/>
          <w:u w:val="single"/>
          <w:lang w:val="el-GR" w:eastAsia="de-DE"/>
        </w:rPr>
        <w:instrText xml:space="preserve"> TOC \h \z \c "Γράφημα" </w:instrText>
      </w:r>
      <w:r>
        <w:rPr>
          <w:rFonts w:asciiTheme="majorHAnsi" w:eastAsiaTheme="majorEastAsia" w:hAnsiTheme="majorHAnsi" w:cstheme="majorBidi"/>
          <w:b/>
          <w:bCs/>
          <w:sz w:val="28"/>
          <w:szCs w:val="28"/>
          <w:u w:val="single"/>
          <w:lang w:val="el-GR" w:eastAsia="de-DE"/>
        </w:rPr>
        <w:fldChar w:fldCharType="separate"/>
      </w:r>
      <w:hyperlink w:anchor="_Toc222493355" w:history="1">
        <w:r w:rsidRPr="007E7C70">
          <w:rPr>
            <w:rStyle w:val="Hyperlink"/>
            <w:rFonts w:asciiTheme="majorHAnsi" w:hAnsiTheme="majorHAnsi" w:cstheme="majorHAnsi"/>
            <w:b/>
            <w:bCs/>
            <w:noProof/>
            <w:color w:val="auto"/>
            <w:lang w:val="el-GR"/>
          </w:rPr>
          <w:t>Γράφημα 1</w:t>
        </w:r>
        <w:r w:rsidRPr="007E7C70">
          <w:rPr>
            <w:rStyle w:val="Hyperlink"/>
            <w:rFonts w:asciiTheme="majorHAnsi" w:hAnsiTheme="majorHAnsi" w:cstheme="majorHAnsi"/>
            <w:noProof/>
            <w:color w:val="auto"/>
            <w:lang w:val="el-GR"/>
          </w:rPr>
          <w:t>: Σύνολο παροχών Κοινωνικής Προστασίας στην Ελλάδα (σε εκατομμύρια €)</w:t>
        </w:r>
        <w:r w:rsidRPr="007E7C70">
          <w:rPr>
            <w:noProof/>
            <w:webHidden/>
          </w:rPr>
          <w:tab/>
        </w:r>
        <w:r w:rsidRPr="007E7C70">
          <w:rPr>
            <w:noProof/>
            <w:webHidden/>
          </w:rPr>
          <w:fldChar w:fldCharType="begin"/>
        </w:r>
        <w:r w:rsidRPr="007E7C70">
          <w:rPr>
            <w:noProof/>
            <w:webHidden/>
          </w:rPr>
          <w:instrText xml:space="preserve"> PAGEREF _Toc222493355 \h </w:instrText>
        </w:r>
        <w:r w:rsidRPr="007E7C70">
          <w:rPr>
            <w:noProof/>
            <w:webHidden/>
          </w:rPr>
        </w:r>
        <w:r w:rsidRPr="007E7C70">
          <w:rPr>
            <w:noProof/>
            <w:webHidden/>
          </w:rPr>
          <w:fldChar w:fldCharType="separate"/>
        </w:r>
        <w:r w:rsidRPr="007E7C70">
          <w:rPr>
            <w:noProof/>
            <w:webHidden/>
          </w:rPr>
          <w:t>8</w:t>
        </w:r>
        <w:r w:rsidRPr="007E7C70">
          <w:rPr>
            <w:noProof/>
            <w:webHidden/>
          </w:rPr>
          <w:fldChar w:fldCharType="end"/>
        </w:r>
      </w:hyperlink>
    </w:p>
    <w:p w14:paraId="3BACBD8B" w14:textId="148839BA" w:rsidR="007E7C70" w:rsidRPr="007E7C70" w:rsidRDefault="007E7C70" w:rsidP="007E7C70">
      <w:pPr>
        <w:pStyle w:val="TableofFigures"/>
        <w:tabs>
          <w:tab w:val="right" w:leader="dot" w:pos="8494"/>
        </w:tabs>
        <w:spacing w:after="120"/>
        <w:rPr>
          <w:rFonts w:eastAsiaTheme="minorEastAsia"/>
          <w:noProof/>
          <w:kern w:val="2"/>
          <w:sz w:val="24"/>
          <w:szCs w:val="24"/>
          <w:lang w:bidi="he-IL"/>
          <w14:ligatures w14:val="standardContextual"/>
        </w:rPr>
      </w:pPr>
      <w:hyperlink w:anchor="_Toc222493356" w:history="1">
        <w:r w:rsidRPr="007E7C70">
          <w:rPr>
            <w:rStyle w:val="Hyperlink"/>
            <w:rFonts w:asciiTheme="majorHAnsi" w:hAnsiTheme="majorHAnsi" w:cstheme="majorHAnsi"/>
            <w:b/>
            <w:bCs/>
            <w:noProof/>
            <w:color w:val="auto"/>
            <w:lang w:val="el-GR"/>
          </w:rPr>
          <w:t>Γράφημα 2</w:t>
        </w:r>
        <w:r w:rsidRPr="007E7C70">
          <w:rPr>
            <w:rStyle w:val="Hyperlink"/>
            <w:rFonts w:asciiTheme="majorHAnsi" w:hAnsiTheme="majorHAnsi" w:cstheme="majorHAnsi"/>
            <w:noProof/>
            <w:color w:val="auto"/>
            <w:lang w:val="el-GR"/>
          </w:rPr>
          <w:t xml:space="preserve">: Κατά Κεφαλήν Δαπάνη για παροχές κοινωνικής προστασίας (Σύνολο) σε </w:t>
        </w:r>
        <w:r>
          <w:rPr>
            <w:rStyle w:val="Hyperlink"/>
            <w:rFonts w:asciiTheme="majorHAnsi" w:hAnsiTheme="majorHAnsi" w:cstheme="majorHAnsi"/>
            <w:noProof/>
            <w:color w:val="auto"/>
            <w:lang w:val="el-GR"/>
          </w:rPr>
          <w:br/>
        </w:r>
        <w:r w:rsidRPr="007E7C70">
          <w:rPr>
            <w:rStyle w:val="Hyperlink"/>
            <w:rFonts w:asciiTheme="majorHAnsi" w:hAnsiTheme="majorHAnsi" w:cstheme="majorHAnsi"/>
            <w:noProof/>
            <w:color w:val="auto"/>
            <w:lang w:val="el-GR"/>
          </w:rPr>
          <w:t>Μονάδες Αγοραστικής Δύναμης (PURCHASING POWER STANDARD) για το έτος 2022</w:t>
        </w:r>
        <w:r w:rsidRPr="007E7C70">
          <w:rPr>
            <w:noProof/>
            <w:webHidden/>
          </w:rPr>
          <w:tab/>
        </w:r>
        <w:r w:rsidRPr="007E7C70">
          <w:rPr>
            <w:noProof/>
            <w:webHidden/>
          </w:rPr>
          <w:fldChar w:fldCharType="begin"/>
        </w:r>
        <w:r w:rsidRPr="007E7C70">
          <w:rPr>
            <w:noProof/>
            <w:webHidden/>
          </w:rPr>
          <w:instrText xml:space="preserve"> PAGEREF _Toc222493356 \h </w:instrText>
        </w:r>
        <w:r w:rsidRPr="007E7C70">
          <w:rPr>
            <w:noProof/>
            <w:webHidden/>
          </w:rPr>
        </w:r>
        <w:r w:rsidRPr="007E7C70">
          <w:rPr>
            <w:noProof/>
            <w:webHidden/>
          </w:rPr>
          <w:fldChar w:fldCharType="separate"/>
        </w:r>
        <w:r w:rsidRPr="007E7C70">
          <w:rPr>
            <w:noProof/>
            <w:webHidden/>
          </w:rPr>
          <w:t>9</w:t>
        </w:r>
        <w:r w:rsidRPr="007E7C70">
          <w:rPr>
            <w:noProof/>
            <w:webHidden/>
          </w:rPr>
          <w:fldChar w:fldCharType="end"/>
        </w:r>
      </w:hyperlink>
    </w:p>
    <w:p w14:paraId="6CF06352" w14:textId="491B4BF1" w:rsidR="007E7C70" w:rsidRPr="007E7C70" w:rsidRDefault="007E7C70" w:rsidP="007E7C70">
      <w:pPr>
        <w:pStyle w:val="TableofFigures"/>
        <w:tabs>
          <w:tab w:val="right" w:leader="dot" w:pos="8494"/>
        </w:tabs>
        <w:spacing w:after="120"/>
        <w:rPr>
          <w:rFonts w:eastAsiaTheme="minorEastAsia"/>
          <w:noProof/>
          <w:kern w:val="2"/>
          <w:sz w:val="24"/>
          <w:szCs w:val="24"/>
          <w:lang w:bidi="he-IL"/>
          <w14:ligatures w14:val="standardContextual"/>
        </w:rPr>
      </w:pPr>
      <w:hyperlink w:anchor="_Toc222493357" w:history="1">
        <w:r w:rsidRPr="007E7C70">
          <w:rPr>
            <w:rStyle w:val="Hyperlink"/>
            <w:rFonts w:asciiTheme="majorHAnsi" w:hAnsiTheme="majorHAnsi" w:cstheme="majorHAnsi"/>
            <w:b/>
            <w:bCs/>
            <w:noProof/>
            <w:color w:val="auto"/>
            <w:lang w:val="el-GR"/>
          </w:rPr>
          <w:t>Γράφημα 3</w:t>
        </w:r>
        <w:r w:rsidRPr="007E7C70">
          <w:rPr>
            <w:rStyle w:val="Hyperlink"/>
            <w:rFonts w:asciiTheme="majorHAnsi" w:hAnsiTheme="majorHAnsi" w:cstheme="majorHAnsi"/>
            <w:noProof/>
            <w:color w:val="auto"/>
            <w:lang w:val="el-GR"/>
          </w:rPr>
          <w:t xml:space="preserve">: Δαπάνες για παροχές κοινωνικής προστασίας  ως ποσοστό του ΑΕΠ (2022) </w:t>
        </w:r>
        <w:r>
          <w:rPr>
            <w:rStyle w:val="Hyperlink"/>
            <w:rFonts w:asciiTheme="majorHAnsi" w:hAnsiTheme="majorHAnsi" w:cstheme="majorHAnsi"/>
            <w:noProof/>
            <w:color w:val="auto"/>
            <w:lang w:val="el-GR"/>
          </w:rPr>
          <w:br/>
        </w:r>
        <w:r w:rsidRPr="007E7C70">
          <w:rPr>
            <w:rStyle w:val="Hyperlink"/>
            <w:rFonts w:asciiTheme="majorHAnsi" w:hAnsiTheme="majorHAnsi" w:cstheme="majorHAnsi"/>
            <w:noProof/>
            <w:color w:val="auto"/>
            <w:lang w:val="el-GR"/>
          </w:rPr>
          <w:t>στις χώρες της ΕΕ-27</w:t>
        </w:r>
        <w:r w:rsidRPr="007E7C70">
          <w:rPr>
            <w:noProof/>
            <w:webHidden/>
          </w:rPr>
          <w:tab/>
        </w:r>
        <w:r w:rsidRPr="007E7C70">
          <w:rPr>
            <w:noProof/>
            <w:webHidden/>
          </w:rPr>
          <w:fldChar w:fldCharType="begin"/>
        </w:r>
        <w:r w:rsidRPr="007E7C70">
          <w:rPr>
            <w:noProof/>
            <w:webHidden/>
          </w:rPr>
          <w:instrText xml:space="preserve"> PAGEREF _Toc222493357 \h </w:instrText>
        </w:r>
        <w:r w:rsidRPr="007E7C70">
          <w:rPr>
            <w:noProof/>
            <w:webHidden/>
          </w:rPr>
        </w:r>
        <w:r w:rsidRPr="007E7C70">
          <w:rPr>
            <w:noProof/>
            <w:webHidden/>
          </w:rPr>
          <w:fldChar w:fldCharType="separate"/>
        </w:r>
        <w:r w:rsidRPr="007E7C70">
          <w:rPr>
            <w:noProof/>
            <w:webHidden/>
          </w:rPr>
          <w:t>10</w:t>
        </w:r>
        <w:r w:rsidRPr="007E7C70">
          <w:rPr>
            <w:noProof/>
            <w:webHidden/>
          </w:rPr>
          <w:fldChar w:fldCharType="end"/>
        </w:r>
      </w:hyperlink>
    </w:p>
    <w:p w14:paraId="5D1F3B38" w14:textId="43B27C9C" w:rsidR="007E7C70" w:rsidRPr="007E7C70" w:rsidRDefault="007E7C70" w:rsidP="007E7C70">
      <w:pPr>
        <w:pStyle w:val="TableofFigures"/>
        <w:tabs>
          <w:tab w:val="right" w:leader="dot" w:pos="8494"/>
        </w:tabs>
        <w:spacing w:after="120"/>
        <w:rPr>
          <w:rFonts w:eastAsiaTheme="minorEastAsia"/>
          <w:noProof/>
          <w:kern w:val="2"/>
          <w:sz w:val="24"/>
          <w:szCs w:val="24"/>
          <w:lang w:bidi="he-IL"/>
          <w14:ligatures w14:val="standardContextual"/>
        </w:rPr>
      </w:pPr>
      <w:hyperlink w:anchor="_Toc222493358" w:history="1">
        <w:r w:rsidRPr="007E7C70">
          <w:rPr>
            <w:rStyle w:val="Hyperlink"/>
            <w:rFonts w:asciiTheme="majorHAnsi" w:hAnsiTheme="majorHAnsi" w:cstheme="majorHAnsi"/>
            <w:b/>
            <w:bCs/>
            <w:noProof/>
            <w:color w:val="auto"/>
            <w:lang w:val="el-GR"/>
          </w:rPr>
          <w:t>Γράφημα 4</w:t>
        </w:r>
        <w:r w:rsidRPr="007E7C70">
          <w:rPr>
            <w:rStyle w:val="Hyperlink"/>
            <w:rFonts w:asciiTheme="majorHAnsi" w:hAnsiTheme="majorHAnsi" w:cstheme="majorHAnsi"/>
            <w:noProof/>
            <w:color w:val="auto"/>
            <w:lang w:val="el-GR"/>
          </w:rPr>
          <w:t xml:space="preserve">: Δείκτης Επίδρασης των κοινωνικών μεταβιβάσεων (εξαιρουμένων των </w:t>
        </w:r>
        <w:r>
          <w:rPr>
            <w:rStyle w:val="Hyperlink"/>
            <w:rFonts w:asciiTheme="majorHAnsi" w:hAnsiTheme="majorHAnsi" w:cstheme="majorHAnsi"/>
            <w:noProof/>
            <w:color w:val="auto"/>
            <w:lang w:val="el-GR"/>
          </w:rPr>
          <w:br/>
        </w:r>
        <w:r w:rsidRPr="007E7C70">
          <w:rPr>
            <w:rStyle w:val="Hyperlink"/>
            <w:rFonts w:asciiTheme="majorHAnsi" w:hAnsiTheme="majorHAnsi" w:cstheme="majorHAnsi"/>
            <w:noProof/>
            <w:color w:val="auto"/>
            <w:lang w:val="el-GR"/>
          </w:rPr>
          <w:t>συντάξεων) στη μείωση της φτώχειας (2024)</w:t>
        </w:r>
        <w:r w:rsidRPr="007E7C70">
          <w:rPr>
            <w:noProof/>
            <w:webHidden/>
          </w:rPr>
          <w:tab/>
        </w:r>
        <w:r w:rsidRPr="007E7C70">
          <w:rPr>
            <w:noProof/>
            <w:webHidden/>
          </w:rPr>
          <w:fldChar w:fldCharType="begin"/>
        </w:r>
        <w:r w:rsidRPr="007E7C70">
          <w:rPr>
            <w:noProof/>
            <w:webHidden/>
          </w:rPr>
          <w:instrText xml:space="preserve"> PAGEREF _Toc222493358 \h </w:instrText>
        </w:r>
        <w:r w:rsidRPr="007E7C70">
          <w:rPr>
            <w:noProof/>
            <w:webHidden/>
          </w:rPr>
        </w:r>
        <w:r w:rsidRPr="007E7C70">
          <w:rPr>
            <w:noProof/>
            <w:webHidden/>
          </w:rPr>
          <w:fldChar w:fldCharType="separate"/>
        </w:r>
        <w:r w:rsidRPr="007E7C70">
          <w:rPr>
            <w:noProof/>
            <w:webHidden/>
          </w:rPr>
          <w:t>11</w:t>
        </w:r>
        <w:r w:rsidRPr="007E7C70">
          <w:rPr>
            <w:noProof/>
            <w:webHidden/>
          </w:rPr>
          <w:fldChar w:fldCharType="end"/>
        </w:r>
      </w:hyperlink>
    </w:p>
    <w:p w14:paraId="122FCC0E" w14:textId="31634E61" w:rsidR="007E7C70" w:rsidRPr="007E7C70" w:rsidRDefault="007E7C70" w:rsidP="007E7C70">
      <w:pPr>
        <w:pStyle w:val="TableofFigures"/>
        <w:tabs>
          <w:tab w:val="right" w:leader="dot" w:pos="8494"/>
        </w:tabs>
        <w:spacing w:after="120"/>
        <w:rPr>
          <w:rFonts w:eastAsiaTheme="minorEastAsia"/>
          <w:noProof/>
          <w:kern w:val="2"/>
          <w:sz w:val="24"/>
          <w:szCs w:val="24"/>
          <w:lang w:bidi="he-IL"/>
          <w14:ligatures w14:val="standardContextual"/>
        </w:rPr>
      </w:pPr>
      <w:hyperlink w:anchor="_Toc222493359" w:history="1">
        <w:r w:rsidRPr="007E7C70">
          <w:rPr>
            <w:rStyle w:val="Hyperlink"/>
            <w:rFonts w:asciiTheme="majorHAnsi" w:hAnsiTheme="majorHAnsi" w:cstheme="majorHAnsi"/>
            <w:b/>
            <w:bCs/>
            <w:noProof/>
            <w:color w:val="auto"/>
            <w:lang w:val="el-GR"/>
          </w:rPr>
          <w:t>Γράφημα 5</w:t>
        </w:r>
        <w:r w:rsidRPr="007E7C70">
          <w:rPr>
            <w:rStyle w:val="Hyperlink"/>
            <w:rFonts w:asciiTheme="majorHAnsi" w:hAnsiTheme="majorHAnsi" w:cstheme="majorHAnsi"/>
            <w:noProof/>
            <w:color w:val="auto"/>
            <w:lang w:val="el-GR"/>
          </w:rPr>
          <w:t xml:space="preserve">: Διαχρονική εξέλιξη δαπανών για παροχές κοινωνικής προστασίας για την </w:t>
        </w:r>
        <w:r>
          <w:rPr>
            <w:rStyle w:val="Hyperlink"/>
            <w:rFonts w:asciiTheme="majorHAnsi" w:hAnsiTheme="majorHAnsi" w:cstheme="majorHAnsi"/>
            <w:noProof/>
            <w:color w:val="auto"/>
            <w:lang w:val="el-GR"/>
          </w:rPr>
          <w:br/>
        </w:r>
        <w:r w:rsidRPr="007E7C70">
          <w:rPr>
            <w:rStyle w:val="Hyperlink"/>
            <w:rFonts w:asciiTheme="majorHAnsi" w:hAnsiTheme="majorHAnsi" w:cstheme="majorHAnsi"/>
            <w:noProof/>
            <w:color w:val="auto"/>
            <w:lang w:val="el-GR"/>
          </w:rPr>
          <w:t>αναπηρία (σε εκατομμύρια €)</w:t>
        </w:r>
        <w:r w:rsidRPr="007E7C70">
          <w:rPr>
            <w:noProof/>
            <w:webHidden/>
          </w:rPr>
          <w:tab/>
        </w:r>
        <w:r w:rsidRPr="007E7C70">
          <w:rPr>
            <w:noProof/>
            <w:webHidden/>
          </w:rPr>
          <w:fldChar w:fldCharType="begin"/>
        </w:r>
        <w:r w:rsidRPr="007E7C70">
          <w:rPr>
            <w:noProof/>
            <w:webHidden/>
          </w:rPr>
          <w:instrText xml:space="preserve"> PAGEREF _Toc222493359 \h </w:instrText>
        </w:r>
        <w:r w:rsidRPr="007E7C70">
          <w:rPr>
            <w:noProof/>
            <w:webHidden/>
          </w:rPr>
        </w:r>
        <w:r w:rsidRPr="007E7C70">
          <w:rPr>
            <w:noProof/>
            <w:webHidden/>
          </w:rPr>
          <w:fldChar w:fldCharType="separate"/>
        </w:r>
        <w:r w:rsidRPr="007E7C70">
          <w:rPr>
            <w:noProof/>
            <w:webHidden/>
          </w:rPr>
          <w:t>13</w:t>
        </w:r>
        <w:r w:rsidRPr="007E7C70">
          <w:rPr>
            <w:noProof/>
            <w:webHidden/>
          </w:rPr>
          <w:fldChar w:fldCharType="end"/>
        </w:r>
      </w:hyperlink>
    </w:p>
    <w:p w14:paraId="4EB40077" w14:textId="49C2B3AF" w:rsidR="007E7C70" w:rsidRPr="007E7C70" w:rsidRDefault="007E7C70" w:rsidP="007E7C70">
      <w:pPr>
        <w:pStyle w:val="TableofFigures"/>
        <w:tabs>
          <w:tab w:val="right" w:leader="dot" w:pos="8494"/>
        </w:tabs>
        <w:spacing w:after="120"/>
        <w:rPr>
          <w:rFonts w:eastAsiaTheme="minorEastAsia"/>
          <w:noProof/>
          <w:kern w:val="2"/>
          <w:sz w:val="24"/>
          <w:szCs w:val="24"/>
          <w:lang w:bidi="he-IL"/>
          <w14:ligatures w14:val="standardContextual"/>
        </w:rPr>
      </w:pPr>
      <w:hyperlink w:anchor="_Toc222493360" w:history="1">
        <w:r w:rsidRPr="007E7C70">
          <w:rPr>
            <w:rStyle w:val="Hyperlink"/>
            <w:rFonts w:asciiTheme="majorHAnsi" w:hAnsiTheme="majorHAnsi" w:cstheme="majorHAnsi"/>
            <w:b/>
            <w:bCs/>
            <w:noProof/>
            <w:color w:val="auto"/>
            <w:lang w:val="el-GR"/>
          </w:rPr>
          <w:t>Γράφημα 6</w:t>
        </w:r>
        <w:r w:rsidRPr="007E7C70">
          <w:rPr>
            <w:rStyle w:val="Hyperlink"/>
            <w:rFonts w:asciiTheme="majorHAnsi" w:hAnsiTheme="majorHAnsi" w:cstheme="majorHAnsi"/>
            <w:noProof/>
            <w:color w:val="auto"/>
            <w:lang w:val="el-GR"/>
          </w:rPr>
          <w:t xml:space="preserve">: Παροχές για την «Αναπηρία» ως ποσοστό του συνόλου των παροχών </w:t>
        </w:r>
        <w:r>
          <w:rPr>
            <w:rStyle w:val="Hyperlink"/>
            <w:rFonts w:asciiTheme="majorHAnsi" w:hAnsiTheme="majorHAnsi" w:cstheme="majorHAnsi"/>
            <w:noProof/>
            <w:color w:val="auto"/>
            <w:lang w:val="el-GR"/>
          </w:rPr>
          <w:br/>
        </w:r>
        <w:r w:rsidRPr="007E7C70">
          <w:rPr>
            <w:rStyle w:val="Hyperlink"/>
            <w:rFonts w:asciiTheme="majorHAnsi" w:hAnsiTheme="majorHAnsi" w:cstheme="majorHAnsi"/>
            <w:noProof/>
            <w:color w:val="auto"/>
            <w:lang w:val="el-GR"/>
          </w:rPr>
          <w:t>κοινωνικής προστασίας στην Ε.Ε. (2022)</w:t>
        </w:r>
        <w:r w:rsidRPr="007E7C70">
          <w:rPr>
            <w:noProof/>
            <w:webHidden/>
          </w:rPr>
          <w:tab/>
        </w:r>
        <w:r w:rsidRPr="007E7C70">
          <w:rPr>
            <w:noProof/>
            <w:webHidden/>
          </w:rPr>
          <w:fldChar w:fldCharType="begin"/>
        </w:r>
        <w:r w:rsidRPr="007E7C70">
          <w:rPr>
            <w:noProof/>
            <w:webHidden/>
          </w:rPr>
          <w:instrText xml:space="preserve"> PAGEREF _Toc222493360 \h </w:instrText>
        </w:r>
        <w:r w:rsidRPr="007E7C70">
          <w:rPr>
            <w:noProof/>
            <w:webHidden/>
          </w:rPr>
        </w:r>
        <w:r w:rsidRPr="007E7C70">
          <w:rPr>
            <w:noProof/>
            <w:webHidden/>
          </w:rPr>
          <w:fldChar w:fldCharType="separate"/>
        </w:r>
        <w:r w:rsidRPr="007E7C70">
          <w:rPr>
            <w:noProof/>
            <w:webHidden/>
          </w:rPr>
          <w:t>14</w:t>
        </w:r>
        <w:r w:rsidRPr="007E7C70">
          <w:rPr>
            <w:noProof/>
            <w:webHidden/>
          </w:rPr>
          <w:fldChar w:fldCharType="end"/>
        </w:r>
      </w:hyperlink>
    </w:p>
    <w:p w14:paraId="6A82A4BA" w14:textId="4D740F40" w:rsidR="007E7C70" w:rsidRPr="007E7C70" w:rsidRDefault="007E7C70" w:rsidP="007E7C70">
      <w:pPr>
        <w:pStyle w:val="TableofFigures"/>
        <w:tabs>
          <w:tab w:val="right" w:leader="dot" w:pos="8494"/>
        </w:tabs>
        <w:spacing w:after="120"/>
        <w:rPr>
          <w:rFonts w:eastAsiaTheme="minorEastAsia"/>
          <w:noProof/>
          <w:kern w:val="2"/>
          <w:sz w:val="24"/>
          <w:szCs w:val="24"/>
          <w:lang w:bidi="he-IL"/>
          <w14:ligatures w14:val="standardContextual"/>
        </w:rPr>
      </w:pPr>
      <w:hyperlink w:anchor="_Toc222493361" w:history="1">
        <w:r w:rsidRPr="007E7C70">
          <w:rPr>
            <w:rStyle w:val="Hyperlink"/>
            <w:rFonts w:asciiTheme="majorHAnsi" w:hAnsiTheme="majorHAnsi" w:cstheme="majorHAnsi"/>
            <w:b/>
            <w:bCs/>
            <w:noProof/>
            <w:color w:val="auto"/>
            <w:lang w:val="el-GR"/>
          </w:rPr>
          <w:t>Γράφημα 7</w:t>
        </w:r>
        <w:r w:rsidRPr="007E7C70">
          <w:rPr>
            <w:rStyle w:val="Hyperlink"/>
            <w:rFonts w:asciiTheme="majorHAnsi" w:hAnsiTheme="majorHAnsi" w:cstheme="majorHAnsi"/>
            <w:noProof/>
            <w:color w:val="auto"/>
            <w:lang w:val="el-GR"/>
          </w:rPr>
          <w:t xml:space="preserve">: Κατά κεφαλήν δαπάνη για παροχές κοινωνικής προστασίας για την αναπηρία </w:t>
        </w:r>
        <w:r>
          <w:rPr>
            <w:rStyle w:val="Hyperlink"/>
            <w:rFonts w:asciiTheme="majorHAnsi" w:hAnsiTheme="majorHAnsi" w:cstheme="majorHAnsi"/>
            <w:noProof/>
            <w:color w:val="auto"/>
            <w:lang w:val="el-GR"/>
          </w:rPr>
          <w:br/>
        </w:r>
        <w:r w:rsidRPr="007E7C70">
          <w:rPr>
            <w:rStyle w:val="Hyperlink"/>
            <w:rFonts w:asciiTheme="majorHAnsi" w:hAnsiTheme="majorHAnsi" w:cstheme="majorHAnsi"/>
            <w:noProof/>
            <w:color w:val="auto"/>
            <w:lang w:val="el-GR"/>
          </w:rPr>
          <w:t>σε μονάδες αγοραστικής δύναμης (</w:t>
        </w:r>
        <w:r w:rsidRPr="007E7C70">
          <w:rPr>
            <w:rStyle w:val="Hyperlink"/>
            <w:rFonts w:asciiTheme="majorHAnsi" w:hAnsiTheme="majorHAnsi" w:cstheme="majorHAnsi"/>
            <w:noProof/>
            <w:color w:val="auto"/>
            <w:lang w:val="en-GB"/>
          </w:rPr>
          <w:t>Purchasing</w:t>
        </w:r>
        <w:r w:rsidRPr="007E7C70">
          <w:rPr>
            <w:rStyle w:val="Hyperlink"/>
            <w:rFonts w:asciiTheme="majorHAnsi" w:hAnsiTheme="majorHAnsi" w:cstheme="majorHAnsi"/>
            <w:noProof/>
            <w:color w:val="auto"/>
            <w:lang w:val="el-GR"/>
          </w:rPr>
          <w:t xml:space="preserve"> </w:t>
        </w:r>
        <w:r w:rsidRPr="007E7C70">
          <w:rPr>
            <w:rStyle w:val="Hyperlink"/>
            <w:rFonts w:asciiTheme="majorHAnsi" w:hAnsiTheme="majorHAnsi" w:cstheme="majorHAnsi"/>
            <w:noProof/>
            <w:color w:val="auto"/>
            <w:lang w:val="en-GB"/>
          </w:rPr>
          <w:t>Power</w:t>
        </w:r>
        <w:r w:rsidRPr="007E7C70">
          <w:rPr>
            <w:rStyle w:val="Hyperlink"/>
            <w:rFonts w:asciiTheme="majorHAnsi" w:hAnsiTheme="majorHAnsi" w:cstheme="majorHAnsi"/>
            <w:noProof/>
            <w:color w:val="auto"/>
            <w:lang w:val="el-GR"/>
          </w:rPr>
          <w:t xml:space="preserve"> </w:t>
        </w:r>
        <w:r w:rsidRPr="007E7C70">
          <w:rPr>
            <w:rStyle w:val="Hyperlink"/>
            <w:rFonts w:asciiTheme="majorHAnsi" w:hAnsiTheme="majorHAnsi" w:cstheme="majorHAnsi"/>
            <w:noProof/>
            <w:color w:val="auto"/>
            <w:lang w:val="en-GB"/>
          </w:rPr>
          <w:t>Standard</w:t>
        </w:r>
        <w:r w:rsidRPr="007E7C70">
          <w:rPr>
            <w:rStyle w:val="Hyperlink"/>
            <w:rFonts w:asciiTheme="majorHAnsi" w:hAnsiTheme="majorHAnsi" w:cstheme="majorHAnsi"/>
            <w:noProof/>
            <w:color w:val="auto"/>
            <w:lang w:val="el-GR"/>
          </w:rPr>
          <w:t>) για το έτος 2022</w:t>
        </w:r>
        <w:r w:rsidRPr="007E7C70">
          <w:rPr>
            <w:noProof/>
            <w:webHidden/>
          </w:rPr>
          <w:tab/>
        </w:r>
        <w:r w:rsidRPr="007E7C70">
          <w:rPr>
            <w:noProof/>
            <w:webHidden/>
          </w:rPr>
          <w:fldChar w:fldCharType="begin"/>
        </w:r>
        <w:r w:rsidRPr="007E7C70">
          <w:rPr>
            <w:noProof/>
            <w:webHidden/>
          </w:rPr>
          <w:instrText xml:space="preserve"> PAGEREF _Toc222493361 \h </w:instrText>
        </w:r>
        <w:r w:rsidRPr="007E7C70">
          <w:rPr>
            <w:noProof/>
            <w:webHidden/>
          </w:rPr>
        </w:r>
        <w:r w:rsidRPr="007E7C70">
          <w:rPr>
            <w:noProof/>
            <w:webHidden/>
          </w:rPr>
          <w:fldChar w:fldCharType="separate"/>
        </w:r>
        <w:r w:rsidRPr="007E7C70">
          <w:rPr>
            <w:noProof/>
            <w:webHidden/>
          </w:rPr>
          <w:t>15</w:t>
        </w:r>
        <w:r w:rsidRPr="007E7C70">
          <w:rPr>
            <w:noProof/>
            <w:webHidden/>
          </w:rPr>
          <w:fldChar w:fldCharType="end"/>
        </w:r>
      </w:hyperlink>
    </w:p>
    <w:p w14:paraId="30F6690F" w14:textId="1486F5BB" w:rsidR="007E7C70" w:rsidRPr="007E7C70" w:rsidRDefault="007E7C70" w:rsidP="007E7C70">
      <w:pPr>
        <w:pStyle w:val="TableofFigures"/>
        <w:tabs>
          <w:tab w:val="right" w:leader="dot" w:pos="8494"/>
        </w:tabs>
        <w:spacing w:after="120"/>
        <w:rPr>
          <w:rFonts w:eastAsiaTheme="minorEastAsia"/>
          <w:noProof/>
          <w:kern w:val="2"/>
          <w:sz w:val="24"/>
          <w:szCs w:val="24"/>
          <w:lang w:bidi="he-IL"/>
          <w14:ligatures w14:val="standardContextual"/>
        </w:rPr>
      </w:pPr>
      <w:hyperlink w:anchor="_Toc222493362" w:history="1">
        <w:r w:rsidRPr="007E7C70">
          <w:rPr>
            <w:rStyle w:val="Hyperlink"/>
            <w:rFonts w:asciiTheme="majorHAnsi" w:hAnsiTheme="majorHAnsi" w:cstheme="majorHAnsi"/>
            <w:b/>
            <w:bCs/>
            <w:noProof/>
            <w:color w:val="auto"/>
            <w:lang w:val="el-GR"/>
          </w:rPr>
          <w:t>Γράφημα 8</w:t>
        </w:r>
        <w:r w:rsidRPr="007E7C70">
          <w:rPr>
            <w:rStyle w:val="Hyperlink"/>
            <w:rFonts w:asciiTheme="majorHAnsi" w:hAnsiTheme="majorHAnsi" w:cstheme="majorHAnsi"/>
            <w:noProof/>
            <w:color w:val="auto"/>
            <w:lang w:val="el-GR"/>
          </w:rPr>
          <w:t>: Δικαιούχοι σύνταξης αναπηρίας στην Ελλάδα (2013-2022)</w:t>
        </w:r>
        <w:r w:rsidRPr="007E7C70">
          <w:rPr>
            <w:noProof/>
            <w:webHidden/>
          </w:rPr>
          <w:tab/>
        </w:r>
        <w:r w:rsidRPr="007E7C70">
          <w:rPr>
            <w:noProof/>
            <w:webHidden/>
          </w:rPr>
          <w:fldChar w:fldCharType="begin"/>
        </w:r>
        <w:r w:rsidRPr="007E7C70">
          <w:rPr>
            <w:noProof/>
            <w:webHidden/>
          </w:rPr>
          <w:instrText xml:space="preserve"> PAGEREF _Toc222493362 \h </w:instrText>
        </w:r>
        <w:r w:rsidRPr="007E7C70">
          <w:rPr>
            <w:noProof/>
            <w:webHidden/>
          </w:rPr>
        </w:r>
        <w:r w:rsidRPr="007E7C70">
          <w:rPr>
            <w:noProof/>
            <w:webHidden/>
          </w:rPr>
          <w:fldChar w:fldCharType="separate"/>
        </w:r>
        <w:r w:rsidRPr="007E7C70">
          <w:rPr>
            <w:noProof/>
            <w:webHidden/>
          </w:rPr>
          <w:t>18</w:t>
        </w:r>
        <w:r w:rsidRPr="007E7C70">
          <w:rPr>
            <w:noProof/>
            <w:webHidden/>
          </w:rPr>
          <w:fldChar w:fldCharType="end"/>
        </w:r>
      </w:hyperlink>
    </w:p>
    <w:p w14:paraId="78293718" w14:textId="3B1270FA" w:rsidR="007E7C70" w:rsidRPr="007E7C70" w:rsidRDefault="007E7C70" w:rsidP="007E7C70">
      <w:pPr>
        <w:pStyle w:val="TableofFigures"/>
        <w:tabs>
          <w:tab w:val="right" w:leader="dot" w:pos="8494"/>
        </w:tabs>
        <w:spacing w:after="120"/>
        <w:rPr>
          <w:rFonts w:eastAsiaTheme="minorEastAsia"/>
          <w:noProof/>
          <w:kern w:val="2"/>
          <w:sz w:val="24"/>
          <w:szCs w:val="24"/>
          <w:lang w:bidi="he-IL"/>
          <w14:ligatures w14:val="standardContextual"/>
        </w:rPr>
      </w:pPr>
      <w:hyperlink w:anchor="_Toc222493363" w:history="1">
        <w:r w:rsidRPr="007E7C70">
          <w:rPr>
            <w:rStyle w:val="Hyperlink"/>
            <w:rFonts w:asciiTheme="majorHAnsi" w:hAnsiTheme="majorHAnsi" w:cstheme="majorHAnsi"/>
            <w:b/>
            <w:bCs/>
            <w:noProof/>
            <w:color w:val="auto"/>
            <w:lang w:val="el-GR"/>
          </w:rPr>
          <w:t>Γράφημα 9</w:t>
        </w:r>
        <w:r w:rsidRPr="007E7C70">
          <w:rPr>
            <w:rStyle w:val="Hyperlink"/>
            <w:rFonts w:asciiTheme="majorHAnsi" w:hAnsiTheme="majorHAnsi" w:cstheme="majorHAnsi"/>
            <w:noProof/>
            <w:color w:val="auto"/>
            <w:lang w:val="el-GR"/>
          </w:rPr>
          <w:t>: Επίδραση των κοινωνικών μεταβιβάσεων (συμπεριλαμβανομένων των συντάξεων) στη μείωση της φτώχειας των ατόμων με μέτρια και σοβαρή αναπηρία 16-64 ετών (2024)</w:t>
        </w:r>
        <w:r w:rsidRPr="007E7C70">
          <w:rPr>
            <w:noProof/>
            <w:webHidden/>
          </w:rPr>
          <w:tab/>
        </w:r>
        <w:r w:rsidRPr="007E7C70">
          <w:rPr>
            <w:noProof/>
            <w:webHidden/>
          </w:rPr>
          <w:fldChar w:fldCharType="begin"/>
        </w:r>
        <w:r w:rsidRPr="007E7C70">
          <w:rPr>
            <w:noProof/>
            <w:webHidden/>
          </w:rPr>
          <w:instrText xml:space="preserve"> PAGEREF _Toc222493363 \h </w:instrText>
        </w:r>
        <w:r w:rsidRPr="007E7C70">
          <w:rPr>
            <w:noProof/>
            <w:webHidden/>
          </w:rPr>
        </w:r>
        <w:r w:rsidRPr="007E7C70">
          <w:rPr>
            <w:noProof/>
            <w:webHidden/>
          </w:rPr>
          <w:fldChar w:fldCharType="separate"/>
        </w:r>
        <w:r w:rsidRPr="007E7C70">
          <w:rPr>
            <w:noProof/>
            <w:webHidden/>
          </w:rPr>
          <w:t>20</w:t>
        </w:r>
        <w:r w:rsidRPr="007E7C70">
          <w:rPr>
            <w:noProof/>
            <w:webHidden/>
          </w:rPr>
          <w:fldChar w:fldCharType="end"/>
        </w:r>
      </w:hyperlink>
    </w:p>
    <w:p w14:paraId="09C030BE" w14:textId="60337AF8" w:rsidR="007E7C70" w:rsidRPr="007E7C70" w:rsidRDefault="007E7C70" w:rsidP="007E7C70">
      <w:pPr>
        <w:spacing w:after="0" w:line="240" w:lineRule="auto"/>
        <w:jc w:val="center"/>
        <w:rPr>
          <w:rFonts w:asciiTheme="majorHAnsi" w:eastAsiaTheme="majorEastAsia" w:hAnsiTheme="majorHAnsi" w:cstheme="majorBidi"/>
          <w:sz w:val="24"/>
          <w:szCs w:val="24"/>
          <w:lang w:val="el-GR" w:eastAsia="de-DE"/>
        </w:rPr>
      </w:pPr>
      <w:r>
        <w:rPr>
          <w:rFonts w:asciiTheme="majorHAnsi" w:eastAsiaTheme="majorEastAsia" w:hAnsiTheme="majorHAnsi" w:cstheme="majorBidi"/>
          <w:b/>
          <w:bCs/>
          <w:sz w:val="28"/>
          <w:szCs w:val="28"/>
          <w:u w:val="single"/>
          <w:lang w:val="el-GR" w:eastAsia="de-DE"/>
        </w:rPr>
        <w:fldChar w:fldCharType="end"/>
      </w:r>
    </w:p>
    <w:p w14:paraId="19BE2D00" w14:textId="141521D9" w:rsidR="00165F59" w:rsidRPr="007E1E34" w:rsidRDefault="00165F59" w:rsidP="00165F59">
      <w:pPr>
        <w:spacing w:before="240"/>
        <w:jc w:val="center"/>
        <w:rPr>
          <w:rFonts w:asciiTheme="majorHAnsi" w:eastAsiaTheme="majorEastAsia" w:hAnsiTheme="majorHAnsi" w:cstheme="majorBidi"/>
          <w:b/>
          <w:bCs/>
          <w:sz w:val="28"/>
          <w:szCs w:val="28"/>
          <w:u w:val="single"/>
          <w:lang w:val="el-GR" w:eastAsia="de-DE"/>
        </w:rPr>
      </w:pPr>
      <w:r w:rsidRPr="007E1E34">
        <w:rPr>
          <w:rFonts w:asciiTheme="majorHAnsi" w:eastAsiaTheme="majorEastAsia" w:hAnsiTheme="majorHAnsi" w:cstheme="majorBidi"/>
          <w:b/>
          <w:bCs/>
          <w:sz w:val="28"/>
          <w:szCs w:val="28"/>
          <w:u w:val="single"/>
          <w:lang w:val="el-GR" w:eastAsia="de-DE"/>
        </w:rPr>
        <w:t>Π</w:t>
      </w:r>
      <w:r w:rsidR="007E1E34">
        <w:rPr>
          <w:rFonts w:asciiTheme="majorHAnsi" w:eastAsiaTheme="majorEastAsia" w:hAnsiTheme="majorHAnsi" w:cstheme="majorBidi"/>
          <w:b/>
          <w:bCs/>
          <w:sz w:val="28"/>
          <w:szCs w:val="28"/>
          <w:u w:val="single"/>
          <w:lang w:val="el-GR" w:eastAsia="de-DE"/>
        </w:rPr>
        <w:t>ίνακες</w:t>
      </w:r>
    </w:p>
    <w:p w14:paraId="680F025C" w14:textId="35F62114" w:rsidR="007E7C70" w:rsidRPr="007E7C70" w:rsidRDefault="00165F59">
      <w:pPr>
        <w:pStyle w:val="TableofFigures"/>
        <w:tabs>
          <w:tab w:val="right" w:leader="dot" w:pos="8494"/>
        </w:tabs>
        <w:rPr>
          <w:rFonts w:eastAsiaTheme="minorEastAsia"/>
          <w:noProof/>
          <w:kern w:val="2"/>
          <w:sz w:val="24"/>
          <w:szCs w:val="24"/>
          <w:lang w:bidi="he-IL"/>
          <w14:ligatures w14:val="standardContextual"/>
        </w:rPr>
      </w:pPr>
      <w:r w:rsidRPr="007E7C70">
        <w:rPr>
          <w:rFonts w:cstheme="minorHAnsi"/>
          <w:sz w:val="24"/>
          <w:szCs w:val="24"/>
          <w:highlight w:val="yellow"/>
          <w:lang w:val="el-GR"/>
        </w:rPr>
        <w:fldChar w:fldCharType="begin"/>
      </w:r>
      <w:r w:rsidRPr="007E7C70">
        <w:rPr>
          <w:rFonts w:cstheme="minorHAnsi"/>
          <w:sz w:val="24"/>
          <w:szCs w:val="24"/>
          <w:highlight w:val="yellow"/>
          <w:lang w:val="el-GR"/>
        </w:rPr>
        <w:instrText xml:space="preserve"> TOC \h \z \c "Πίνακας" </w:instrText>
      </w:r>
      <w:r w:rsidRPr="007E7C70">
        <w:rPr>
          <w:rFonts w:cstheme="minorHAnsi"/>
          <w:sz w:val="24"/>
          <w:szCs w:val="24"/>
          <w:highlight w:val="yellow"/>
          <w:lang w:val="el-GR"/>
        </w:rPr>
        <w:fldChar w:fldCharType="separate"/>
      </w:r>
      <w:hyperlink w:anchor="_Toc222493414" w:history="1">
        <w:r w:rsidR="007E7C70" w:rsidRPr="007E7C70">
          <w:rPr>
            <w:rStyle w:val="Hyperlink"/>
            <w:rFonts w:asciiTheme="majorHAnsi" w:hAnsiTheme="majorHAnsi" w:cstheme="majorHAnsi"/>
            <w:b/>
            <w:bCs/>
            <w:noProof/>
            <w:color w:val="auto"/>
            <w:lang w:val="el-GR"/>
          </w:rPr>
          <w:t>Πίνακας 1</w:t>
        </w:r>
        <w:r w:rsidR="007E7C70" w:rsidRPr="007E7C70">
          <w:rPr>
            <w:rStyle w:val="Hyperlink"/>
            <w:rFonts w:asciiTheme="majorHAnsi" w:hAnsiTheme="majorHAnsi" w:cstheme="majorHAnsi"/>
            <w:noProof/>
            <w:color w:val="auto"/>
            <w:lang w:val="el-GR"/>
          </w:rPr>
          <w:t xml:space="preserve">: ΑΝΑΛΥΤΙΚΕΣ ΠΑΡΟΧΕΣ ΚΟΙΝΩΝΙΚΗΣ ΠΡΟΣΤΑΣΙΑΣ ΜΕ ΤΟ ΣΥΣΤΗΜΑ </w:t>
        </w:r>
        <w:r w:rsidR="007E7C70">
          <w:rPr>
            <w:rStyle w:val="Hyperlink"/>
            <w:rFonts w:asciiTheme="majorHAnsi" w:hAnsiTheme="majorHAnsi" w:cstheme="majorHAnsi"/>
            <w:noProof/>
            <w:color w:val="auto"/>
            <w:lang w:val="el-GR"/>
          </w:rPr>
          <w:br/>
        </w:r>
        <w:r w:rsidR="007E7C70" w:rsidRPr="007E7C70">
          <w:rPr>
            <w:rStyle w:val="Hyperlink"/>
            <w:rFonts w:asciiTheme="majorHAnsi" w:hAnsiTheme="majorHAnsi" w:cstheme="majorHAnsi"/>
            <w:noProof/>
            <w:color w:val="auto"/>
            <w:lang w:val="el-GR"/>
          </w:rPr>
          <w:t>ESSPROS - ΕΤΟΣ 2022 (σε εκατομμύρια €)</w:t>
        </w:r>
        <w:r w:rsidR="007E7C70" w:rsidRPr="007E7C70">
          <w:rPr>
            <w:noProof/>
            <w:webHidden/>
          </w:rPr>
          <w:tab/>
        </w:r>
        <w:r w:rsidR="007E7C70" w:rsidRPr="007E7C70">
          <w:rPr>
            <w:noProof/>
            <w:webHidden/>
          </w:rPr>
          <w:fldChar w:fldCharType="begin"/>
        </w:r>
        <w:r w:rsidR="007E7C70" w:rsidRPr="007E7C70">
          <w:rPr>
            <w:noProof/>
            <w:webHidden/>
          </w:rPr>
          <w:instrText xml:space="preserve"> PAGEREF _Toc222493414 \h </w:instrText>
        </w:r>
        <w:r w:rsidR="007E7C70" w:rsidRPr="007E7C70">
          <w:rPr>
            <w:noProof/>
            <w:webHidden/>
          </w:rPr>
        </w:r>
        <w:r w:rsidR="007E7C70" w:rsidRPr="007E7C70">
          <w:rPr>
            <w:noProof/>
            <w:webHidden/>
          </w:rPr>
          <w:fldChar w:fldCharType="separate"/>
        </w:r>
        <w:r w:rsidR="007E7C70" w:rsidRPr="007E7C70">
          <w:rPr>
            <w:noProof/>
            <w:webHidden/>
          </w:rPr>
          <w:t>12</w:t>
        </w:r>
        <w:r w:rsidR="007E7C70" w:rsidRPr="007E7C70">
          <w:rPr>
            <w:noProof/>
            <w:webHidden/>
          </w:rPr>
          <w:fldChar w:fldCharType="end"/>
        </w:r>
      </w:hyperlink>
    </w:p>
    <w:p w14:paraId="0CAA81D0" w14:textId="478D4A34" w:rsidR="007E1E34" w:rsidRPr="007E1E34" w:rsidRDefault="00165F59" w:rsidP="007E7C70">
      <w:pPr>
        <w:spacing w:after="120" w:line="240" w:lineRule="auto"/>
        <w:ind w:left="567" w:hanging="567"/>
        <w:rPr>
          <w:rFonts w:cstheme="minorHAnsi"/>
        </w:rPr>
      </w:pPr>
      <w:r w:rsidRPr="007E7C70">
        <w:rPr>
          <w:rFonts w:cstheme="minorHAnsi"/>
          <w:sz w:val="24"/>
          <w:szCs w:val="24"/>
          <w:highlight w:val="yellow"/>
          <w:lang w:val="el-GR"/>
        </w:rPr>
        <w:fldChar w:fldCharType="end"/>
      </w:r>
      <w:r w:rsidR="007E1E34" w:rsidRPr="007E1E34">
        <w:rPr>
          <w:rFonts w:cstheme="minorHAnsi"/>
        </w:rPr>
        <w:br w:type="page"/>
      </w:r>
    </w:p>
    <w:p w14:paraId="21AA760E" w14:textId="1A132516" w:rsidR="007D51AE" w:rsidRPr="00E96E30" w:rsidRDefault="00181D14" w:rsidP="007E1E34">
      <w:pPr>
        <w:pStyle w:val="Heading1"/>
        <w:numPr>
          <w:ilvl w:val="0"/>
          <w:numId w:val="0"/>
        </w:numPr>
        <w:tabs>
          <w:tab w:val="center" w:pos="4393"/>
          <w:tab w:val="left" w:pos="7537"/>
        </w:tabs>
        <w:spacing w:before="600" w:after="240"/>
        <w:jc w:val="center"/>
        <w:rPr>
          <w:b/>
          <w:bCs/>
          <w:color w:val="000000" w:themeColor="text1"/>
          <w:u w:val="single"/>
          <w:lang w:val="el-GR"/>
        </w:rPr>
      </w:pPr>
      <w:bookmarkStart w:id="0" w:name="_Toc222493313"/>
      <w:r w:rsidRPr="00E96E30">
        <w:rPr>
          <w:b/>
          <w:bCs/>
          <w:color w:val="000000" w:themeColor="text1"/>
          <w:u w:val="single"/>
          <w:lang w:val="el-GR"/>
        </w:rPr>
        <w:lastRenderedPageBreak/>
        <w:t>Ε</w:t>
      </w:r>
      <w:r w:rsidR="00CE199A">
        <w:rPr>
          <w:b/>
          <w:bCs/>
          <w:color w:val="000000" w:themeColor="text1"/>
          <w:u w:val="single"/>
          <w:lang w:val="el-GR"/>
        </w:rPr>
        <w:t>ισαγωγή</w:t>
      </w:r>
      <w:bookmarkEnd w:id="0"/>
    </w:p>
    <w:p w14:paraId="47E5FE62" w14:textId="77777777" w:rsidR="007341FB" w:rsidRPr="007341FB" w:rsidRDefault="007341FB" w:rsidP="007341FB">
      <w:pPr>
        <w:jc w:val="both"/>
        <w:rPr>
          <w:rStyle w:val="hgkelc"/>
          <w:rFonts w:ascii="Constantia" w:eastAsia="Times New Roman" w:hAnsi="Constantia" w:cstheme="majorHAnsi"/>
          <w:sz w:val="24"/>
          <w:szCs w:val="24"/>
          <w:lang w:val="el-GR" w:eastAsia="el-GR"/>
        </w:rPr>
      </w:pPr>
      <w:bookmarkStart w:id="1" w:name="_Hlk184644538"/>
      <w:r w:rsidRPr="007341FB">
        <w:rPr>
          <w:rStyle w:val="hgkelc"/>
          <w:rFonts w:ascii="Constantia" w:eastAsia="Times New Roman" w:hAnsi="Constantia" w:cstheme="majorHAnsi"/>
          <w:sz w:val="24"/>
          <w:szCs w:val="24"/>
          <w:lang w:val="el-GR" w:eastAsia="el-GR"/>
        </w:rPr>
        <w:t>Αντικείμενο του δελτίου είναι η κοινωνική προστασία και οι παροχές κοινωνικής προστασίας προς τα άτομα με αναπηρία στην Ελλάδα και στην Ευρωπαϊκή Ένωση [Ε.Ε. (27)].</w:t>
      </w:r>
    </w:p>
    <w:p w14:paraId="5D5CC3E6" w14:textId="77777777" w:rsidR="007341FB" w:rsidRPr="007341FB" w:rsidRDefault="007341FB" w:rsidP="007341FB">
      <w:pPr>
        <w:jc w:val="both"/>
        <w:rPr>
          <w:rStyle w:val="hgkelc"/>
          <w:rFonts w:ascii="Constantia" w:eastAsia="Times New Roman" w:hAnsi="Constantia" w:cstheme="majorHAnsi"/>
          <w:sz w:val="24"/>
          <w:szCs w:val="24"/>
          <w:lang w:val="el-GR" w:eastAsia="el-GR"/>
        </w:rPr>
      </w:pPr>
      <w:r w:rsidRPr="007341FB">
        <w:rPr>
          <w:rStyle w:val="hgkelc"/>
          <w:rFonts w:ascii="Constantia" w:eastAsia="Times New Roman" w:hAnsi="Constantia" w:cstheme="majorHAnsi"/>
          <w:sz w:val="24"/>
          <w:szCs w:val="24"/>
          <w:lang w:val="el-GR" w:eastAsia="el-GR"/>
        </w:rPr>
        <w:t>Ιστορικά στην Ελλάδα, η ανάπτυξη και εξέλιξη του κράτους πρόνοιας ακολούθησε το «</w:t>
      </w:r>
      <w:proofErr w:type="spellStart"/>
      <w:r w:rsidRPr="007341FB">
        <w:rPr>
          <w:rStyle w:val="hgkelc"/>
          <w:rFonts w:ascii="Constantia" w:eastAsia="Times New Roman" w:hAnsi="Constantia" w:cstheme="majorHAnsi"/>
          <w:sz w:val="24"/>
          <w:szCs w:val="24"/>
          <w:lang w:val="el-GR" w:eastAsia="el-GR"/>
        </w:rPr>
        <w:t>νοτιοευρωπαϊκό</w:t>
      </w:r>
      <w:proofErr w:type="spellEnd"/>
      <w:r w:rsidRPr="007341FB">
        <w:rPr>
          <w:rStyle w:val="hgkelc"/>
          <w:rFonts w:ascii="Constantia" w:eastAsia="Times New Roman" w:hAnsi="Constantia" w:cstheme="majorHAnsi"/>
          <w:sz w:val="24"/>
          <w:szCs w:val="24"/>
          <w:lang w:val="el-GR" w:eastAsia="el-GR"/>
        </w:rPr>
        <w:t xml:space="preserve"> μοντέλο», με βασικά γνωρίσματα: τις ανισότητες στον καταμερισμό της κοινωνικής προστασίας και την άνιση αντιμετώπιση διαφόρων κοινωνικών ομάδων, την αποσπασματικότητα των παρεμβάσεων κοινωνικής πολιτικής, την έμφαση στις παθητικές πολιτικές, τη γραφειοκρατία και τις υποτυπώδεις κοινωνικές υπηρεσίες / παροχές προς τις ευάλωτες ομάδες. Οι μελέτες των συστημάτων κοινωνικής προστασίας στην Ευρώπη, καταδεικνύουν τη χαμηλή αποτελεσματικότητα των συστημάτων κοινωνικής προστασίας των κρατών του ευρωπαϊκού νότου, αλλά από την άλλη και την αποτυχία του νεοφιλελεύθερου μοντέλου που εφαρμόστηκε σε χώρες όπως η Βρετανία.</w:t>
      </w:r>
    </w:p>
    <w:p w14:paraId="4AD447A3" w14:textId="77777777" w:rsidR="007341FB" w:rsidRPr="007341FB" w:rsidRDefault="007341FB" w:rsidP="007341FB">
      <w:pPr>
        <w:jc w:val="both"/>
        <w:rPr>
          <w:rStyle w:val="hgkelc"/>
          <w:rFonts w:ascii="Constantia" w:eastAsia="Times New Roman" w:hAnsi="Constantia" w:cstheme="majorHAnsi"/>
          <w:sz w:val="24"/>
          <w:szCs w:val="24"/>
          <w:lang w:val="el-GR" w:eastAsia="el-GR"/>
        </w:rPr>
      </w:pPr>
      <w:r w:rsidRPr="007341FB">
        <w:rPr>
          <w:rStyle w:val="hgkelc"/>
          <w:rFonts w:ascii="Constantia" w:eastAsia="Times New Roman" w:hAnsi="Constantia" w:cstheme="majorHAnsi"/>
          <w:sz w:val="24"/>
          <w:szCs w:val="24"/>
          <w:lang w:val="el-GR" w:eastAsia="el-GR"/>
        </w:rPr>
        <w:t xml:space="preserve">Έτσι στην Ελλάδα, ήδη πριν την εκδήλωση της οικονομικής κρίσης, είχε διαπιστωθεί το παράδοξο ότι, ενώ οι δαπάνες για κοινωνική προστασία αυξανόταν (κατά το διάστημα 1998-2008), το ποσοστό φτώχειας στη χώρα παρέμενε στα ίδια επίπεδα. Στη μειωμένη απόδοση των δαπανών κοινωνικής προστασίας στην Ελλάδα πρέπει να λαμβάνεται υπόψη και η διάρθρωση των κοινωνικών μεταβιβάσεων που στην πλειονότητά τους αφορούν στις συντάξεις γήρατος, λόγω της δημογραφικής γήρανσης, καθώς και η αναδιάρθρωση των εργασιακών σχέσεων στο πλαίσιο πολιτικών </w:t>
      </w:r>
      <w:proofErr w:type="spellStart"/>
      <w:r w:rsidRPr="007341FB">
        <w:rPr>
          <w:rStyle w:val="hgkelc"/>
          <w:rFonts w:ascii="Constantia" w:eastAsia="Times New Roman" w:hAnsi="Constantia" w:cstheme="majorHAnsi"/>
          <w:sz w:val="24"/>
          <w:szCs w:val="24"/>
          <w:lang w:val="el-GR" w:eastAsia="el-GR"/>
        </w:rPr>
        <w:t>ελαστικοποίησης</w:t>
      </w:r>
      <w:proofErr w:type="spellEnd"/>
      <w:r w:rsidRPr="007341FB">
        <w:rPr>
          <w:rStyle w:val="hgkelc"/>
          <w:rFonts w:ascii="Constantia" w:eastAsia="Times New Roman" w:hAnsi="Constantia" w:cstheme="majorHAnsi"/>
          <w:sz w:val="24"/>
          <w:szCs w:val="24"/>
          <w:lang w:val="el-GR" w:eastAsia="el-GR"/>
        </w:rPr>
        <w:t xml:space="preserve"> της εργασίας. Σε αυτό το πλαίσιο, η κοινωνική προστασία των ατόμων με αναπηρία, δομήθηκε στη βάση του αναχρονιστικού ιατρικού μοντέλου και περιορίστηκε διαχρονικά σε μια μονοδιάστατη προνοιακή / φιλανθρωπική αντίληψη. Απόρροια αυτής της αντίληψης είναι η απουσία δομών και υπηρεσιών που να ανταποκρίνονται στις ανάγκες των ατόμων με αναπηρία και να υποστηρίζουν την ανεξάρτητη διαβίωση στην κοινότητα.</w:t>
      </w:r>
    </w:p>
    <w:p w14:paraId="4CCD266F" w14:textId="77777777" w:rsidR="007341FB" w:rsidRPr="007341FB" w:rsidRDefault="007341FB" w:rsidP="007341FB">
      <w:pPr>
        <w:jc w:val="both"/>
        <w:rPr>
          <w:rStyle w:val="hgkelc"/>
          <w:rFonts w:ascii="Constantia" w:eastAsia="Times New Roman" w:hAnsi="Constantia" w:cstheme="majorHAnsi"/>
          <w:sz w:val="24"/>
          <w:szCs w:val="24"/>
          <w:lang w:val="el-GR" w:eastAsia="el-GR"/>
        </w:rPr>
      </w:pPr>
      <w:r w:rsidRPr="007341FB">
        <w:rPr>
          <w:rStyle w:val="hgkelc"/>
          <w:rFonts w:ascii="Constantia" w:eastAsia="Times New Roman" w:hAnsi="Constantia" w:cstheme="majorHAnsi"/>
          <w:sz w:val="24"/>
          <w:szCs w:val="24"/>
          <w:lang w:val="el-GR" w:eastAsia="el-GR"/>
        </w:rPr>
        <w:t xml:space="preserve">Η ανυπαρξία παροχών σε είδος, στην ελληνική περίπτωση, συνδυάζεται με μια στρεβλή επιδοματική πολιτική που δεν στοχεύει στην κοινωνική ένταξη, αφού στην ουσία τα άτομα με αναπηρία «επιδοτούνται για να παραμένουν στο περιθώριο». Περίτρανη απόδειξη αυτού είναι η εφαρμογή του εκδικητικού μέτρου της διακοπής του επιδόματος αναπηρίας σε περίπτωση απασχόλησης. Η εφαρμογή των </w:t>
      </w:r>
      <w:proofErr w:type="spellStart"/>
      <w:r w:rsidRPr="007341FB">
        <w:rPr>
          <w:rStyle w:val="hgkelc"/>
          <w:rFonts w:ascii="Constantia" w:eastAsia="Times New Roman" w:hAnsi="Constantia" w:cstheme="majorHAnsi"/>
          <w:sz w:val="24"/>
          <w:szCs w:val="24"/>
          <w:lang w:val="el-GR" w:eastAsia="el-GR"/>
        </w:rPr>
        <w:t>μνημονιακών</w:t>
      </w:r>
      <w:proofErr w:type="spellEnd"/>
      <w:r w:rsidRPr="007341FB">
        <w:rPr>
          <w:rStyle w:val="hgkelc"/>
          <w:rFonts w:ascii="Constantia" w:eastAsia="Times New Roman" w:hAnsi="Constantia" w:cstheme="majorHAnsi"/>
          <w:sz w:val="24"/>
          <w:szCs w:val="24"/>
          <w:lang w:val="el-GR" w:eastAsia="el-GR"/>
        </w:rPr>
        <w:t xml:space="preserve"> πολιτικών τα προηγούμενα χρόνια οδήγησαν στην αποσάθρωση του συστήματος κοινωνικής προστασίας στη χώρα και στην επιβολή σαρωτικών αλλαγών σε όλο το φάσμα των κοινωνικών παροχών. Σήμερα, τα πρόσθετα εμπόδια και οι προκλήσεις που απορρέουν από τη νέα συνθήκη των πολλαπλών κρίσεων (πληθωριστική, ενεργειακή, κλιματική, γεωπολιτική), καθιστούν περισσότερο από ποτέ επιτατική την ανάγκη διασφάλισης του δικαιώματος των ατόμων με αναπηρία σε κοινωνική προστασία και ανεκτό επίπεδο διαβίωσης, όπως αυτό κατοχυρώνεται </w:t>
      </w:r>
      <w:r w:rsidRPr="007341FB">
        <w:rPr>
          <w:rStyle w:val="hgkelc"/>
          <w:rFonts w:ascii="Constantia" w:eastAsia="Times New Roman" w:hAnsi="Constantia" w:cstheme="majorHAnsi"/>
          <w:sz w:val="24"/>
          <w:szCs w:val="24"/>
          <w:lang w:val="el-GR" w:eastAsia="el-GR"/>
        </w:rPr>
        <w:lastRenderedPageBreak/>
        <w:t>στο Σύνταγμα της χώρας και διευρύνεται με το άρθρο 28 της Σύμβασης των Ηνωμένων Εθνών για τα Δικαιώματα των Ατόμων με Αναπηρίες.</w:t>
      </w:r>
    </w:p>
    <w:p w14:paraId="75485194" w14:textId="77777777" w:rsidR="007341FB" w:rsidRPr="007341FB" w:rsidRDefault="007341FB" w:rsidP="007341FB">
      <w:pPr>
        <w:jc w:val="both"/>
        <w:rPr>
          <w:rStyle w:val="hgkelc"/>
          <w:rFonts w:ascii="Constantia" w:eastAsia="Times New Roman" w:hAnsi="Constantia" w:cstheme="majorHAnsi"/>
          <w:sz w:val="24"/>
          <w:szCs w:val="24"/>
          <w:lang w:val="el-GR" w:eastAsia="el-GR"/>
        </w:rPr>
      </w:pPr>
      <w:r w:rsidRPr="007341FB">
        <w:rPr>
          <w:rStyle w:val="hgkelc"/>
          <w:rFonts w:ascii="Constantia" w:eastAsia="Times New Roman" w:hAnsi="Constantia" w:cstheme="majorHAnsi"/>
          <w:sz w:val="24"/>
          <w:szCs w:val="24"/>
          <w:lang w:val="el-GR" w:eastAsia="el-GR"/>
        </w:rPr>
        <w:t>Στο δελτίο, παρουσιάζονται τα τελευταία διαθέσιμα δεδομένα από το Ευρωπαϊκό Σύστημα Ολοκληρωμένων Στατιστικών Κοινωνικής Προστασίας (ESSPROS) σχετικά με τις δαπάνες και τις παροχές κοινωνικής προστασίας, διερευνάται η διαχρονική εξέλιξη αυτών των μεγεθών, και αποτυπώνεται η θέση της χώρας σε σύγκριση με τα υπόλοιπα κράτη της Ευρώπης.</w:t>
      </w:r>
    </w:p>
    <w:p w14:paraId="726E9220" w14:textId="77777777" w:rsidR="007341FB" w:rsidRPr="007341FB" w:rsidRDefault="007341FB" w:rsidP="007341FB">
      <w:pPr>
        <w:jc w:val="both"/>
        <w:rPr>
          <w:rStyle w:val="hgkelc"/>
          <w:rFonts w:ascii="Constantia" w:eastAsia="Times New Roman" w:hAnsi="Constantia" w:cstheme="majorHAnsi"/>
          <w:sz w:val="24"/>
          <w:szCs w:val="24"/>
          <w:lang w:val="el-GR" w:eastAsia="el-GR"/>
        </w:rPr>
      </w:pPr>
      <w:r w:rsidRPr="007341FB">
        <w:rPr>
          <w:rStyle w:val="hgkelc"/>
          <w:rFonts w:ascii="Constantia" w:eastAsia="Times New Roman" w:hAnsi="Constantia" w:cstheme="majorHAnsi"/>
          <w:sz w:val="24"/>
          <w:szCs w:val="24"/>
          <w:lang w:val="el-GR" w:eastAsia="el-GR"/>
        </w:rPr>
        <w:t xml:space="preserve">Το </w:t>
      </w:r>
      <w:r w:rsidRPr="007341FB">
        <w:rPr>
          <w:rStyle w:val="hgkelc"/>
          <w:rFonts w:ascii="Constantia" w:eastAsia="Times New Roman" w:hAnsi="Constantia" w:cstheme="majorHAnsi"/>
          <w:sz w:val="24"/>
          <w:szCs w:val="24"/>
          <w:lang w:val="en-GB" w:eastAsia="el-GR"/>
        </w:rPr>
        <w:t>ESSPROS (European System of Integrated Social Protection Statistics)</w:t>
      </w:r>
      <w:r w:rsidRPr="007341FB">
        <w:rPr>
          <w:rStyle w:val="hgkelc"/>
          <w:rFonts w:ascii="Constantia" w:eastAsia="Times New Roman" w:hAnsi="Constantia" w:cstheme="majorHAnsi"/>
          <w:sz w:val="24"/>
          <w:szCs w:val="24"/>
          <w:lang w:val="el-GR" w:eastAsia="el-GR"/>
        </w:rPr>
        <w:t xml:space="preserve"> αποτελεί ένα μεθοδολογικό πλαίσιο βασισμένο σε πρότυπα, κοινούς ορισμούς, ταξινομήσεις και κανόνες λογιστικής, το οποίο χρησιμοποιείται για την κατάρτιση συγκρίσιμων στατιστικών για την κοινωνική προστασία στις χώρες της Ε.Ε. </w:t>
      </w:r>
      <w:r w:rsidRPr="007341FB">
        <w:rPr>
          <w:rStyle w:val="hgkelc"/>
          <w:rFonts w:ascii="Constantia" w:eastAsia="Times New Roman" w:hAnsi="Constantia" w:cstheme="majorHAnsi"/>
          <w:b/>
          <w:bCs/>
          <w:sz w:val="24"/>
          <w:szCs w:val="24"/>
          <w:lang w:val="el-GR" w:eastAsia="el-GR"/>
        </w:rPr>
        <w:t xml:space="preserve">Το ESSPROS βασίζεται στον ορισμό της κοινωνικής προστασίας ως: το σύνολο των παρεμβάσεων δημόσιων ή ιδιωτικών φορέων που έχουν ως σκοπό να ανακουφίσουν τα νοικοκυριά και τα άτομα από το οικονομικό βάρος ενός καθορισμένου συνόλου κινδύνων ή αναγκών. </w:t>
      </w:r>
      <w:r w:rsidRPr="007341FB">
        <w:rPr>
          <w:rStyle w:val="hgkelc"/>
          <w:rFonts w:ascii="Constantia" w:eastAsia="Times New Roman" w:hAnsi="Constantia" w:cstheme="majorHAnsi"/>
          <w:sz w:val="24"/>
          <w:szCs w:val="24"/>
          <w:lang w:val="el-GR" w:eastAsia="el-GR"/>
        </w:rPr>
        <w:t>Οι κίνδυνοι ή ανάγκες ταξινομούνται σε 8 τομείς / λειτουργίες: την ασθένεια, την αναπηρία, το γήρας, τη χηρεία, την οικογένεια / τέκνα, την ανεργία, τη στέγαση και τον κοινωνικό αποκλεισμό. Οι κοινωνικές παροχές περιλαμβάνουν παροχές τόσο σε χρήμα όσο και σε είδος.</w:t>
      </w:r>
    </w:p>
    <w:p w14:paraId="16E8BD1B" w14:textId="4E28AA39" w:rsidR="007341FB" w:rsidRPr="007341FB" w:rsidRDefault="007341FB" w:rsidP="007341FB">
      <w:pPr>
        <w:jc w:val="both"/>
        <w:rPr>
          <w:rStyle w:val="hgkelc"/>
          <w:rFonts w:ascii="Constantia" w:eastAsia="Times New Roman" w:hAnsi="Constantia" w:cstheme="majorHAnsi"/>
          <w:sz w:val="24"/>
          <w:szCs w:val="24"/>
          <w:lang w:val="el-GR" w:eastAsia="el-GR"/>
        </w:rPr>
      </w:pPr>
      <w:r w:rsidRPr="007341FB">
        <w:rPr>
          <w:rStyle w:val="hgkelc"/>
          <w:rFonts w:ascii="Constantia" w:eastAsia="Times New Roman" w:hAnsi="Constantia" w:cstheme="majorHAnsi"/>
          <w:sz w:val="24"/>
          <w:szCs w:val="24"/>
          <w:lang w:val="el-GR" w:eastAsia="el-GR"/>
        </w:rPr>
        <w:t xml:space="preserve">Ειδικότερα, στις παροχές για την κατηγορία της αναπηρίας, συνυπολογίζονται: </w:t>
      </w:r>
      <w:r>
        <w:rPr>
          <w:rStyle w:val="hgkelc"/>
          <w:rFonts w:ascii="Constantia" w:eastAsia="Times New Roman" w:hAnsi="Constantia" w:cstheme="majorHAnsi"/>
          <w:sz w:val="24"/>
          <w:szCs w:val="24"/>
          <w:lang w:val="el-GR" w:eastAsia="el-GR"/>
        </w:rPr>
        <w:br/>
      </w:r>
      <w:r w:rsidRPr="007341FB">
        <w:rPr>
          <w:rStyle w:val="hgkelc"/>
          <w:rFonts w:ascii="Constantia" w:eastAsia="Times New Roman" w:hAnsi="Constantia" w:cstheme="majorHAnsi"/>
          <w:sz w:val="24"/>
          <w:szCs w:val="24"/>
          <w:lang w:val="el-GR" w:eastAsia="el-GR"/>
        </w:rPr>
        <w:t>α) παροχές που εξασφαλίζουν εισόδημα σε άτομα τα οποία δεν έχουν συμπληρώσει ακόμη το όριο ηλικίας συνταξιοδότησης που προβλέπεται από τον νόμο και δεν έχουν την ικανότητα να εκτελέσουν αμειβόμενη εργασία εξαιτίας σωματικής ή ψυχικής βλάβης, β) παροχές που χορηγούν υπηρεσίες αποκατάστασης που απαιτούνται από τη φύση της συγκεκριμένης αναπηρίας και τέλος, γ) παροχές που χορηγούν αγαθά και υπηρεσίες εκτός της ιατρικής μέριμνας σε άτομα με αναπηρία. Στη λειτουργία «ασθένεια» περιλαμβάνονται όλες οι παροχές σε χρήμα που αντισταθμίζουν εξ ολοκλήρου ή εν μέρει την απώλεια εισοδήματος εξαιτίας της προσωρινής αδυναμίας του ατόμου προς εργασία λόγω ασθένειας ή τραυματισμού (επιδόματα ασθενείας), καθώς και οι παροχές κάλυψης τους κόστους της υγειονομικής περίθαλψης που χορηγείται στο πλαίσιο της κοινωνικής προστασίας / κοινωνικής ασφάλισης</w:t>
      </w:r>
      <w:r w:rsidRPr="007341FB">
        <w:rPr>
          <w:rStyle w:val="FootnoteReference"/>
          <w:rFonts w:ascii="Constantia" w:eastAsia="Times New Roman" w:hAnsi="Constantia" w:cstheme="majorHAnsi"/>
          <w:sz w:val="24"/>
          <w:szCs w:val="24"/>
          <w:lang w:val="el-GR" w:eastAsia="el-GR"/>
        </w:rPr>
        <w:footnoteReference w:id="1"/>
      </w:r>
      <w:r w:rsidRPr="007341FB">
        <w:rPr>
          <w:rStyle w:val="hgkelc"/>
          <w:rFonts w:ascii="Constantia" w:eastAsia="Times New Roman" w:hAnsi="Constantia" w:cstheme="majorHAnsi"/>
          <w:sz w:val="24"/>
          <w:szCs w:val="24"/>
          <w:lang w:val="el-GR" w:eastAsia="el-GR"/>
        </w:rPr>
        <w:t>.</w:t>
      </w:r>
    </w:p>
    <w:p w14:paraId="2B87A8CB" w14:textId="759209E5" w:rsidR="001B7609" w:rsidRDefault="001B7609">
      <w:pPr>
        <w:spacing w:after="0" w:line="240" w:lineRule="auto"/>
        <w:rPr>
          <w:lang w:val="el-GR"/>
        </w:rPr>
      </w:pPr>
      <w:r>
        <w:rPr>
          <w:lang w:val="el-GR"/>
        </w:rPr>
        <w:br w:type="page"/>
      </w:r>
    </w:p>
    <w:p w14:paraId="74AD23C5" w14:textId="4147751D" w:rsidR="00630CC0" w:rsidRDefault="00630CC0" w:rsidP="003363E1">
      <w:pPr>
        <w:pStyle w:val="Heading1"/>
        <w:numPr>
          <w:ilvl w:val="0"/>
          <w:numId w:val="0"/>
        </w:numPr>
        <w:spacing w:before="360" w:after="240"/>
        <w:jc w:val="center"/>
        <w:rPr>
          <w:b/>
          <w:bCs/>
          <w:color w:val="000000" w:themeColor="text1"/>
          <w:u w:val="single"/>
          <w:lang w:val="el-GR"/>
        </w:rPr>
      </w:pPr>
      <w:bookmarkStart w:id="2" w:name="_Toc222493314"/>
      <w:r w:rsidRPr="00996E62">
        <w:rPr>
          <w:b/>
          <w:bCs/>
          <w:color w:val="000000" w:themeColor="text1"/>
          <w:u w:val="single"/>
          <w:lang w:val="el-GR"/>
        </w:rPr>
        <w:lastRenderedPageBreak/>
        <w:t>Βασικά Ευρήματα</w:t>
      </w:r>
      <w:bookmarkEnd w:id="2"/>
    </w:p>
    <w:p w14:paraId="1E95672B" w14:textId="77777777" w:rsidR="007341FB" w:rsidRPr="007341FB" w:rsidRDefault="007341FB" w:rsidP="007341FB">
      <w:pPr>
        <w:spacing w:before="240" w:after="80"/>
        <w:jc w:val="both"/>
        <w:rPr>
          <w:rFonts w:ascii="Constantia" w:hAnsi="Constantia"/>
          <w:b/>
          <w:bCs/>
          <w:sz w:val="24"/>
          <w:szCs w:val="24"/>
          <w:lang w:val="el-GR"/>
        </w:rPr>
      </w:pPr>
      <w:r w:rsidRPr="007341FB">
        <w:rPr>
          <w:rFonts w:ascii="Constantia" w:hAnsi="Constantia"/>
          <w:b/>
          <w:bCs/>
          <w:sz w:val="24"/>
          <w:szCs w:val="24"/>
          <w:lang w:val="el-GR"/>
        </w:rPr>
        <w:t>Για τη συνολική δαπάνη για παροχές κοινωνικής προστασίας, τα στοιχεία του συστήματος ESSPROS καταδεικνύουν ότι:</w:t>
      </w:r>
    </w:p>
    <w:p w14:paraId="64A39F88" w14:textId="77777777" w:rsidR="007341FB" w:rsidRPr="007341FB" w:rsidRDefault="007341FB" w:rsidP="007341FB">
      <w:pPr>
        <w:pStyle w:val="ListParagraph"/>
        <w:numPr>
          <w:ilvl w:val="0"/>
          <w:numId w:val="45"/>
        </w:numPr>
        <w:spacing w:after="80"/>
        <w:ind w:left="357" w:hanging="357"/>
        <w:contextualSpacing w:val="0"/>
        <w:jc w:val="both"/>
        <w:rPr>
          <w:rFonts w:ascii="Constantia" w:hAnsi="Constantia"/>
          <w:sz w:val="24"/>
          <w:szCs w:val="24"/>
          <w:lang w:val="el-GR"/>
        </w:rPr>
      </w:pPr>
      <w:r w:rsidRPr="007341FB">
        <w:rPr>
          <w:rFonts w:ascii="Constantia" w:hAnsi="Constantia"/>
          <w:sz w:val="24"/>
          <w:szCs w:val="24"/>
          <w:lang w:val="el-GR"/>
        </w:rPr>
        <w:t>Οι συνολικές δαπάνες για παροχές κοινωνικής προστασίας στην Ελλάδα ανήλθαν το 2022 σε 49.614 εκατομμύρια ευρώ, αντιπροσωπεύοντας το 24,1% του ελληνικού ΑΕΠ (Ε.Ε.-27: 27,9%).</w:t>
      </w:r>
    </w:p>
    <w:p w14:paraId="742C061C" w14:textId="77777777" w:rsidR="007341FB" w:rsidRPr="007341FB" w:rsidRDefault="007341FB" w:rsidP="007341FB">
      <w:pPr>
        <w:pStyle w:val="ListParagraph"/>
        <w:numPr>
          <w:ilvl w:val="0"/>
          <w:numId w:val="45"/>
        </w:numPr>
        <w:spacing w:after="80"/>
        <w:ind w:left="357" w:hanging="357"/>
        <w:contextualSpacing w:val="0"/>
        <w:jc w:val="both"/>
        <w:rPr>
          <w:rFonts w:ascii="Constantia" w:hAnsi="Constantia"/>
          <w:sz w:val="24"/>
          <w:szCs w:val="24"/>
          <w:lang w:val="el-GR"/>
        </w:rPr>
      </w:pPr>
      <w:r w:rsidRPr="007341FB">
        <w:rPr>
          <w:rFonts w:ascii="Constantia" w:hAnsi="Constantia"/>
          <w:sz w:val="24"/>
          <w:szCs w:val="24"/>
          <w:lang w:val="el-GR"/>
        </w:rPr>
        <w:t>Οι συνολικές δαπάνες για παροχές κοινωνικής προστασίας καταγράφουν μια συνεχόμενη πτωτική πορεία το διάστημα 2012 -2017, ενώ από το 2018 μέχρι το 2022 καταγράφεται μερική ανάκαμψη, με σωρευτική αύξηση της τάξεως του 11%.</w:t>
      </w:r>
    </w:p>
    <w:p w14:paraId="57F35AFA" w14:textId="77777777" w:rsidR="007341FB" w:rsidRPr="007341FB" w:rsidRDefault="007341FB" w:rsidP="007341FB">
      <w:pPr>
        <w:pStyle w:val="ListParagraph"/>
        <w:numPr>
          <w:ilvl w:val="0"/>
          <w:numId w:val="45"/>
        </w:numPr>
        <w:spacing w:after="80"/>
        <w:ind w:left="357" w:hanging="357"/>
        <w:contextualSpacing w:val="0"/>
        <w:jc w:val="both"/>
        <w:rPr>
          <w:rFonts w:ascii="Constantia" w:hAnsi="Constantia"/>
          <w:sz w:val="24"/>
          <w:szCs w:val="24"/>
          <w:lang w:val="el-GR"/>
        </w:rPr>
      </w:pPr>
      <w:r w:rsidRPr="007341FB">
        <w:rPr>
          <w:rFonts w:ascii="Constantia" w:hAnsi="Constantia"/>
          <w:sz w:val="24"/>
          <w:szCs w:val="24"/>
          <w:lang w:val="el-GR"/>
        </w:rPr>
        <w:t>Η κατά κεφαλή εθνική δαπάνη για παροχές κοινωνικής προστασίας σε Μονάδες Αγοραστικής Δύναμης (ΜΑΔ) ανέρχεται στη χώρα σε 5.696,94, όντας κατά 43% χαμηλότερη από τον μέσο όρο της Ε.Ε.-27 (10.013).</w:t>
      </w:r>
    </w:p>
    <w:p w14:paraId="2DF61DEF" w14:textId="77777777" w:rsidR="007341FB" w:rsidRPr="007341FB" w:rsidRDefault="007341FB" w:rsidP="007341FB">
      <w:pPr>
        <w:pStyle w:val="ListParagraph"/>
        <w:numPr>
          <w:ilvl w:val="0"/>
          <w:numId w:val="45"/>
        </w:numPr>
        <w:spacing w:after="80"/>
        <w:ind w:left="357" w:hanging="357"/>
        <w:contextualSpacing w:val="0"/>
        <w:jc w:val="both"/>
        <w:rPr>
          <w:rFonts w:ascii="Constantia" w:hAnsi="Constantia"/>
          <w:sz w:val="24"/>
          <w:szCs w:val="24"/>
          <w:lang w:val="el-GR"/>
        </w:rPr>
      </w:pPr>
      <w:r w:rsidRPr="007341FB">
        <w:rPr>
          <w:rFonts w:ascii="Constantia" w:hAnsi="Constantia"/>
          <w:sz w:val="24"/>
          <w:szCs w:val="24"/>
          <w:lang w:val="el-GR"/>
        </w:rPr>
        <w:t>Το 2024, η Ελλάδα καταγράφει τη χαμηλότερη τιμή στον δείκτη «Επίδραση των κοινωνικών μεταβιβάσεων (εξαιρουμένων των συντάξεων) στη μείωση της φτώχειας» που υπολογίστηκε σε 16,6, όταν σε επίπεδο Ε.Ε. των 27 καταγράφεται τιμή υπερδιπλάσια, που ανέρχεται σε 34,4.</w:t>
      </w:r>
    </w:p>
    <w:p w14:paraId="55E72FFE" w14:textId="77777777" w:rsidR="007341FB" w:rsidRPr="007341FB" w:rsidRDefault="007341FB" w:rsidP="007341FB">
      <w:pPr>
        <w:pStyle w:val="ListParagraph"/>
        <w:numPr>
          <w:ilvl w:val="0"/>
          <w:numId w:val="45"/>
        </w:numPr>
        <w:spacing w:after="80"/>
        <w:ind w:left="357" w:hanging="357"/>
        <w:contextualSpacing w:val="0"/>
        <w:jc w:val="both"/>
        <w:rPr>
          <w:rFonts w:ascii="Constantia" w:hAnsi="Constantia"/>
          <w:sz w:val="24"/>
          <w:szCs w:val="24"/>
          <w:lang w:val="el-GR"/>
        </w:rPr>
      </w:pPr>
      <w:r w:rsidRPr="007341FB">
        <w:rPr>
          <w:rFonts w:ascii="Constantia" w:hAnsi="Constantia"/>
          <w:sz w:val="24"/>
          <w:szCs w:val="24"/>
          <w:lang w:val="el-GR"/>
        </w:rPr>
        <w:t>Το 51,8% της συνολικής δαπάνης αφορά στην προστασία του γήρατος (δηλαδή σε συντάξεις γήρατος), ποσοστό το οποίο είναι το υψηλότερο μεταξύ των χωρών της Ευρώπης (Ε.Ε.-27: 40,65%). Το 22,9% των δαπανών για παροχές κοινωνικής προστασίας δαπανήθηκε για την προστασία της ασθένειας, το 9,9% για την προστασία της χηρείας και το 5,6% αφορά σε κοινωνικές παροχές για την οικογένεια.</w:t>
      </w:r>
    </w:p>
    <w:p w14:paraId="2128F8C5" w14:textId="77777777" w:rsidR="007341FB" w:rsidRPr="007341FB" w:rsidRDefault="007341FB" w:rsidP="007341FB">
      <w:pPr>
        <w:pStyle w:val="ListParagraph"/>
        <w:numPr>
          <w:ilvl w:val="0"/>
          <w:numId w:val="45"/>
        </w:numPr>
        <w:spacing w:after="80"/>
        <w:ind w:left="357" w:hanging="357"/>
        <w:contextualSpacing w:val="0"/>
        <w:jc w:val="both"/>
        <w:rPr>
          <w:rFonts w:ascii="Constantia" w:hAnsi="Constantia"/>
          <w:sz w:val="24"/>
          <w:szCs w:val="24"/>
          <w:lang w:val="el-GR"/>
        </w:rPr>
      </w:pPr>
      <w:r w:rsidRPr="007341FB">
        <w:rPr>
          <w:rFonts w:ascii="Constantia" w:hAnsi="Constantia"/>
          <w:sz w:val="24"/>
          <w:szCs w:val="24"/>
          <w:lang w:val="el-GR"/>
        </w:rPr>
        <w:t>Οι δαπάνες για κοινωνικές παροχές για την «Αναπηρία» ανέρχονται σε 1.901 εκατ. Ευρώ, καταλαμβάνοντας μόλις το 3,8% των δαπανών κοινωνικής προστασίας (δεύτερο χαμηλότερο ποσοστό στην Ε.Ε.-27), όταν ο μέσος όρος της Ε.Ε. (27) ανερχόταν στο 7%.</w:t>
      </w:r>
    </w:p>
    <w:p w14:paraId="3BDC5AB5" w14:textId="77777777" w:rsidR="007341FB" w:rsidRPr="007341FB" w:rsidRDefault="007341FB" w:rsidP="007341FB">
      <w:pPr>
        <w:spacing w:before="240" w:after="80"/>
        <w:jc w:val="both"/>
        <w:rPr>
          <w:rFonts w:ascii="Constantia" w:hAnsi="Constantia"/>
          <w:b/>
          <w:bCs/>
          <w:sz w:val="24"/>
          <w:szCs w:val="24"/>
          <w:lang w:val="el-GR"/>
        </w:rPr>
      </w:pPr>
      <w:r w:rsidRPr="007341FB">
        <w:rPr>
          <w:rFonts w:ascii="Constantia" w:hAnsi="Constantia"/>
          <w:b/>
          <w:bCs/>
          <w:sz w:val="24"/>
          <w:szCs w:val="24"/>
          <w:lang w:val="el-GR"/>
        </w:rPr>
        <w:t>Ειδικότερα, για τις δαπάνες κοινωνικής προστασίας για την αναπηρία, τα στοιχεία δείχνουν ότι:</w:t>
      </w:r>
    </w:p>
    <w:p w14:paraId="0F90B3FD" w14:textId="77777777" w:rsidR="007341FB" w:rsidRPr="007341FB" w:rsidRDefault="007341FB" w:rsidP="007341FB">
      <w:pPr>
        <w:pStyle w:val="ListParagraph"/>
        <w:numPr>
          <w:ilvl w:val="0"/>
          <w:numId w:val="45"/>
        </w:numPr>
        <w:spacing w:after="80"/>
        <w:ind w:left="357" w:hanging="357"/>
        <w:contextualSpacing w:val="0"/>
        <w:jc w:val="both"/>
        <w:rPr>
          <w:rFonts w:ascii="Constantia" w:hAnsi="Constantia"/>
          <w:sz w:val="24"/>
          <w:szCs w:val="24"/>
          <w:lang w:val="el-GR"/>
        </w:rPr>
      </w:pPr>
      <w:r w:rsidRPr="007341FB">
        <w:rPr>
          <w:rFonts w:ascii="Constantia" w:hAnsi="Constantia"/>
          <w:sz w:val="24"/>
          <w:szCs w:val="24"/>
          <w:lang w:val="el-GR"/>
        </w:rPr>
        <w:t xml:space="preserve">Οι δαπάνες προστασίας της αναπηρίας κατά τη διάρκεια της οικονομικής κρίσης και των μνημονίων υπέστησαν τεράστια περικοπή. Το διάστημα 2012 έως 2015, οι δαπάνες </w:t>
      </w:r>
      <w:proofErr w:type="spellStart"/>
      <w:r w:rsidRPr="007341FB">
        <w:rPr>
          <w:rFonts w:ascii="Constantia" w:hAnsi="Constantia"/>
          <w:sz w:val="24"/>
          <w:szCs w:val="24"/>
          <w:lang w:val="el-GR"/>
        </w:rPr>
        <w:t>περικόπηκαν</w:t>
      </w:r>
      <w:proofErr w:type="spellEnd"/>
      <w:r w:rsidRPr="007341FB">
        <w:rPr>
          <w:rFonts w:ascii="Constantia" w:hAnsi="Constantia"/>
          <w:sz w:val="24"/>
          <w:szCs w:val="24"/>
          <w:lang w:val="el-GR"/>
        </w:rPr>
        <w:t xml:space="preserve"> σε ποσοστό 42%, ενώ έκτοτε παραμένουν μέχρι και το 2022 σε παρόμοια, εξαιρετικά χαμηλά επίπεδα.</w:t>
      </w:r>
    </w:p>
    <w:p w14:paraId="3D55A968" w14:textId="77777777" w:rsidR="007341FB" w:rsidRPr="007341FB" w:rsidRDefault="007341FB" w:rsidP="007341FB">
      <w:pPr>
        <w:pStyle w:val="ListParagraph"/>
        <w:numPr>
          <w:ilvl w:val="0"/>
          <w:numId w:val="45"/>
        </w:numPr>
        <w:spacing w:after="80"/>
        <w:ind w:left="357" w:hanging="357"/>
        <w:contextualSpacing w:val="0"/>
        <w:jc w:val="both"/>
        <w:rPr>
          <w:rFonts w:ascii="Constantia" w:hAnsi="Constantia"/>
          <w:sz w:val="24"/>
          <w:szCs w:val="24"/>
          <w:lang w:val="el-GR"/>
        </w:rPr>
      </w:pPr>
      <w:r w:rsidRPr="007341FB">
        <w:rPr>
          <w:rFonts w:ascii="Constantia" w:hAnsi="Constantia"/>
          <w:sz w:val="24"/>
          <w:szCs w:val="24"/>
          <w:lang w:val="el-GR"/>
        </w:rPr>
        <w:t>Η «Κατά κεφαλήν δαπάνη για παροχές κοινωνικής προστασίας για την αναπηρία σε μονάδες αγοραστικής δύναμης» επιβεβαιώνει επίσης τη γενική εικόνα, αφού στην Ελλάδα βρίσκεται το 2022 στο ιδιαίτερα χαμηλό επίπεδο των 215,81 (ΜΑΔ) ανά κάτοικο (προτελευταία μετά την Μάλτα), που αντιστοιχεί σε λιγότερο από το 1/3 της ευρωπαϊκής δαπάνης (Ε.Ε.-27: 672,44).</w:t>
      </w:r>
    </w:p>
    <w:p w14:paraId="1A50D2F9" w14:textId="77777777" w:rsidR="007341FB" w:rsidRPr="007341FB" w:rsidRDefault="007341FB" w:rsidP="007341FB">
      <w:pPr>
        <w:pStyle w:val="ListParagraph"/>
        <w:numPr>
          <w:ilvl w:val="0"/>
          <w:numId w:val="45"/>
        </w:numPr>
        <w:spacing w:after="80"/>
        <w:ind w:left="357" w:hanging="357"/>
        <w:contextualSpacing w:val="0"/>
        <w:jc w:val="both"/>
        <w:rPr>
          <w:rFonts w:ascii="Constantia" w:hAnsi="Constantia"/>
          <w:sz w:val="24"/>
          <w:szCs w:val="24"/>
          <w:lang w:val="el-GR"/>
        </w:rPr>
      </w:pPr>
      <w:r w:rsidRPr="007341FB">
        <w:rPr>
          <w:rFonts w:ascii="Constantia" w:hAnsi="Constantia"/>
          <w:sz w:val="24"/>
          <w:szCs w:val="24"/>
          <w:lang w:val="el-GR"/>
        </w:rPr>
        <w:lastRenderedPageBreak/>
        <w:t xml:space="preserve">Μέχρι και το έτος 2022 για το οποίο διαθέτουμε τα αναλυτικά δεδομένα, οι δαπάνες κοινωνικής προστασίας για την αναπηρία αφορούσαν σχεδόν αποκλειστικά σε περιοδικές παροχές σε χρήμα και ειδικότερα, σε συντάξεις αναπηρίας (47% της δαπάνης) και σε αναπηρικά επιδόματα (48,7% της δαπάνης). Επιβεβαιώνεται δηλαδή ότι, οι παροχές σε επίπεδο υπηρεσιών υποστήριξης είναι ιδιαίτερα περιορισμένες στη χώρα, και η πρόνοια, μέχρι και το 2022, ήταν σχεδόν ανύπαρκτη σε ότι αφορά ζητήματα στέγασης, βοήθειας σε καθημερινές δραστηριότητες, αποκατάστασης / </w:t>
      </w:r>
      <w:proofErr w:type="spellStart"/>
      <w:r w:rsidRPr="007341FB">
        <w:rPr>
          <w:rFonts w:ascii="Constantia" w:hAnsi="Constantia"/>
          <w:sz w:val="24"/>
          <w:szCs w:val="24"/>
          <w:lang w:val="el-GR"/>
        </w:rPr>
        <w:t>επαναποκατάστασης</w:t>
      </w:r>
      <w:proofErr w:type="spellEnd"/>
      <w:r w:rsidRPr="007341FB">
        <w:rPr>
          <w:rFonts w:ascii="Constantia" w:hAnsi="Constantia"/>
          <w:sz w:val="24"/>
          <w:szCs w:val="24"/>
          <w:lang w:val="el-GR"/>
        </w:rPr>
        <w:t>.</w:t>
      </w:r>
    </w:p>
    <w:p w14:paraId="29BA6C48" w14:textId="77777777" w:rsidR="007341FB" w:rsidRPr="007341FB" w:rsidRDefault="007341FB" w:rsidP="007341FB">
      <w:pPr>
        <w:pStyle w:val="ListParagraph"/>
        <w:numPr>
          <w:ilvl w:val="0"/>
          <w:numId w:val="45"/>
        </w:numPr>
        <w:spacing w:after="80"/>
        <w:ind w:left="357" w:hanging="357"/>
        <w:contextualSpacing w:val="0"/>
        <w:jc w:val="both"/>
        <w:rPr>
          <w:rFonts w:ascii="Constantia" w:hAnsi="Constantia"/>
          <w:sz w:val="24"/>
          <w:szCs w:val="24"/>
          <w:lang w:val="el-GR"/>
        </w:rPr>
      </w:pPr>
      <w:r w:rsidRPr="007341FB">
        <w:rPr>
          <w:rFonts w:ascii="Constantia" w:hAnsi="Constantia"/>
          <w:sz w:val="24"/>
          <w:szCs w:val="24"/>
          <w:lang w:val="el-GR"/>
        </w:rPr>
        <w:t>Το πλήθος των δικαιούχων αναπηρικής σύνταξης καταγράφει συνεχόμενη μείωση από το 2015. Συνολικά κατά το διάστημα 2015-2022 καταγράφονται 26.870 λιγότεροι δικαιούχοι, δηλαδή σημειώνεται μείωση της τάξεως του 20%.</w:t>
      </w:r>
    </w:p>
    <w:p w14:paraId="6FD8C71E" w14:textId="77777777" w:rsidR="007341FB" w:rsidRPr="007341FB" w:rsidRDefault="007341FB" w:rsidP="007341FB">
      <w:pPr>
        <w:pStyle w:val="ListParagraph"/>
        <w:numPr>
          <w:ilvl w:val="0"/>
          <w:numId w:val="45"/>
        </w:numPr>
        <w:spacing w:after="80"/>
        <w:ind w:left="357" w:hanging="357"/>
        <w:contextualSpacing w:val="0"/>
        <w:jc w:val="both"/>
        <w:rPr>
          <w:rFonts w:ascii="Constantia" w:hAnsi="Constantia"/>
          <w:sz w:val="24"/>
          <w:szCs w:val="24"/>
          <w:lang w:val="el-GR"/>
        </w:rPr>
      </w:pPr>
      <w:r w:rsidRPr="007341FB">
        <w:rPr>
          <w:rFonts w:ascii="Constantia" w:hAnsi="Constantia"/>
          <w:sz w:val="24"/>
          <w:szCs w:val="24"/>
          <w:lang w:val="el-GR"/>
        </w:rPr>
        <w:t>Η επίδραση των κοινωνικών μεταβιβάσεων (συμπεριλαμβανομένων των συντάξεων) στη μείωση της φτώχειας των ατόμων με μέτρια και σοβαρή αναπηρία 16-64 ετών για το 2024 φέρνει την Ελλάδα πάλι στη τελευταία θέση, καταγράφοντας τη χειρότερη επίδοση στον συγκεκριμένο δείκτη. Ειδικότερα, μετά τις κοινωνικές μεταβιβάσεις το ποσοστό φτώχειας και κοινωνικού αποκλεισμού των ατόμων με αναπηρία 16-64 ετών μειώνεται μόλις κατά 5,3 μονάδες, καταλήγοντας να είναι ένα από τα δύο υψηλότερα στην Ευρώπη (Ποσοστό κινδύνου φτώχειας ή/και κοινωνικού αποκλεισμού: Ελλάδα: 48,3% / Ρουμανία: 48,4%).</w:t>
      </w:r>
    </w:p>
    <w:p w14:paraId="273E5D7E" w14:textId="77777777" w:rsidR="007341FB" w:rsidRPr="007341FB" w:rsidRDefault="007341FB" w:rsidP="007341FB">
      <w:pPr>
        <w:rPr>
          <w:lang w:val="el-GR"/>
        </w:rPr>
      </w:pPr>
    </w:p>
    <w:bookmarkEnd w:id="1"/>
    <w:p w14:paraId="0BB4CB0B" w14:textId="13DCDDAC" w:rsidR="001B7609" w:rsidRDefault="001B7609">
      <w:pPr>
        <w:spacing w:after="0" w:line="240" w:lineRule="auto"/>
        <w:rPr>
          <w:lang w:val="el-GR"/>
        </w:rPr>
      </w:pPr>
      <w:r>
        <w:rPr>
          <w:lang w:val="el-GR"/>
        </w:rPr>
        <w:br w:type="page"/>
      </w:r>
    </w:p>
    <w:p w14:paraId="212851BE" w14:textId="2735E5CE" w:rsidR="007D51AE" w:rsidRPr="00CC2A02" w:rsidRDefault="00B44236" w:rsidP="003363E1">
      <w:pPr>
        <w:pStyle w:val="Heading1"/>
        <w:numPr>
          <w:ilvl w:val="0"/>
          <w:numId w:val="0"/>
        </w:numPr>
        <w:spacing w:before="360" w:after="240"/>
        <w:jc w:val="center"/>
        <w:rPr>
          <w:b/>
          <w:bCs/>
          <w:color w:val="000000" w:themeColor="text1"/>
          <w:u w:val="single"/>
          <w:lang w:val="el-GR"/>
        </w:rPr>
      </w:pPr>
      <w:bookmarkStart w:id="3" w:name="_Toc222493315"/>
      <w:r w:rsidRPr="00CC2A02">
        <w:rPr>
          <w:b/>
          <w:bCs/>
          <w:color w:val="000000" w:themeColor="text1"/>
          <w:u w:val="single"/>
          <w:lang w:val="el-GR"/>
        </w:rPr>
        <w:lastRenderedPageBreak/>
        <w:t>Β</w:t>
      </w:r>
      <w:r w:rsidR="00CE199A">
        <w:rPr>
          <w:b/>
          <w:bCs/>
          <w:color w:val="000000" w:themeColor="text1"/>
          <w:u w:val="single"/>
          <w:lang w:val="el-GR"/>
        </w:rPr>
        <w:t>ασικά Συμπεράσματα</w:t>
      </w:r>
      <w:bookmarkEnd w:id="3"/>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BF1DE"/>
        <w:tblLook w:val="04A0" w:firstRow="1" w:lastRow="0" w:firstColumn="1" w:lastColumn="0" w:noHBand="0" w:noVBand="1"/>
      </w:tblPr>
      <w:tblGrid>
        <w:gridCol w:w="8494"/>
      </w:tblGrid>
      <w:tr w:rsidR="00B44236" w:rsidRPr="006C3D5A" w14:paraId="7CFABFE1" w14:textId="77777777" w:rsidTr="001B7609">
        <w:tc>
          <w:tcPr>
            <w:tcW w:w="8777" w:type="dxa"/>
            <w:shd w:val="clear" w:color="auto" w:fill="F2F2F2" w:themeFill="background1" w:themeFillShade="F2"/>
          </w:tcPr>
          <w:p w14:paraId="21BDE9C5" w14:textId="77777777" w:rsidR="007341FB" w:rsidRPr="007341FB" w:rsidRDefault="007341FB" w:rsidP="007341FB">
            <w:pPr>
              <w:spacing w:after="120" w:line="240" w:lineRule="auto"/>
              <w:jc w:val="both"/>
              <w:rPr>
                <w:rFonts w:ascii="Constantia" w:hAnsi="Constantia"/>
                <w:sz w:val="23"/>
                <w:szCs w:val="23"/>
                <w:lang w:val="el-GR"/>
              </w:rPr>
            </w:pPr>
            <w:bookmarkStart w:id="4" w:name="_Hlk185526246"/>
            <w:r w:rsidRPr="007341FB">
              <w:rPr>
                <w:rFonts w:ascii="Constantia" w:hAnsi="Constantia"/>
                <w:sz w:val="23"/>
                <w:szCs w:val="23"/>
                <w:lang w:val="el-GR"/>
              </w:rPr>
              <w:t>Δυστυχώς, οι δαπάνες για την κοινωνική προστασία, υπό το πρίσμα των πολιτικών της τελευταίας δεκαπενταετίας, αντιμετωπίστηκαν ως δημοσιονομικό φορτίο και όχι ως μέρος της λύσης για έξοδο από την κρίση. Η συρρίκνωση του κοινωνικού κράτους, που έλαβε χώρα με περιστολή του ¼ των δαπανών κοινωνικής προστασίας το διάστημα 2009-2017, βασίστηκε κυρίως σε μυθεύματα, που ήθελαν την Ελλάδα να δαπανά πολλά σε αυτόν τον τομέα, ενώ η σύγκριση των πραγματικών δεδομένων στο επίπεδο των χωρών της Ε.Ε. αποκαλύπτει το ανυπόστατο αυτών των αιτιάσεων. Παρότι από το 2017 καταγράφεται σταθερή μικρή ανάκαμψη των συνολικών δαπανών για κοινωνική προστασία, αυτή δεν επαρκεί, ενώ ταυτόχρονα δεν αποτυπώνεται κατ’ ελάχιστο στις δαπάνες για την αναπηρία. Οι παροχές για την αναπηρία, με όποιον δείκτη και αν μετρηθούν, κατατάσσουν τη χώρα μας σταθερά στις τελευταίες θέσεις της Ευρώπης.</w:t>
            </w:r>
          </w:p>
          <w:p w14:paraId="0DBE0143" w14:textId="77777777" w:rsidR="007341FB" w:rsidRPr="007341FB" w:rsidRDefault="007341FB" w:rsidP="007341FB">
            <w:pPr>
              <w:spacing w:after="120" w:line="240" w:lineRule="auto"/>
              <w:jc w:val="both"/>
              <w:rPr>
                <w:rFonts w:ascii="Constantia" w:hAnsi="Constantia"/>
                <w:sz w:val="23"/>
                <w:szCs w:val="23"/>
                <w:lang w:val="el-GR"/>
              </w:rPr>
            </w:pPr>
            <w:r w:rsidRPr="007341FB">
              <w:rPr>
                <w:rFonts w:ascii="Constantia" w:hAnsi="Constantia"/>
                <w:sz w:val="23"/>
                <w:szCs w:val="23"/>
                <w:lang w:val="el-GR"/>
              </w:rPr>
              <w:t>Ωστόσο ιδιαίτερα σημαντικό εύρημα που καταδεικνύει τις παθογένειες του συστήματος κοινωνικής προστασίας, αλλά και ειδικότερα σε ότι αφορά την αναπηρία, είναι η μικρή επίδραση που ασκούν οι υφιστάμενες κοινωνικές μεταβιβάσεις στην εξάλειψη της φτώχειας και ιδιαίτερα της φτώχειας των ατόμων με αναπηρία στις παραγωγικές ηλικίες. Αυτό το εύρημα επιβεβαιώνει τον στρεβλό και ελλειμματικό χαρακτήρα της κοινωνικής προστασίας στην Ελλάδα, την αποσπασματικότητα των παροχών, την απουσία δομών και υπηρεσιών που να ανταποκρίνονται στις ανάγκες των ατόμων με αναπηρία και να υποστηρίζουν την ανεξάρτητη διαβίωση και την κοινωνική τους ένταξη, την ανεπάρκεια των οικονομικών ενισχύσεων και των μέτρων καταπολέμησης της φτώχειας.</w:t>
            </w:r>
          </w:p>
          <w:p w14:paraId="4D4320E2" w14:textId="77777777" w:rsidR="007341FB" w:rsidRPr="007341FB" w:rsidRDefault="007341FB" w:rsidP="007341FB">
            <w:pPr>
              <w:spacing w:after="120" w:line="240" w:lineRule="auto"/>
              <w:jc w:val="both"/>
              <w:rPr>
                <w:rFonts w:ascii="Constantia" w:hAnsi="Constantia"/>
                <w:sz w:val="23"/>
                <w:szCs w:val="23"/>
                <w:lang w:val="el-GR"/>
              </w:rPr>
            </w:pPr>
            <w:r w:rsidRPr="007341FB">
              <w:rPr>
                <w:rFonts w:ascii="Constantia" w:hAnsi="Constantia"/>
                <w:sz w:val="23"/>
                <w:szCs w:val="23"/>
                <w:lang w:val="el-GR"/>
              </w:rPr>
              <w:t>Παρά τις προτάσεις που είχε καταθέσει η ΕΣΑμεΑ στη διαβούλευση της Εθνικής Στρατηγικής για τα Δικαιώματα των Ατόμων με Αναπηρία 2024-2030: "Μια Ελλάδα με Όλους για Όλους", αυτή, όπως τελικά διαμορφώθηκε, δεν αντιμετωπίζει τα ζητήματα σχετικά με τη διασφάλιση ενός αξιοπρεπούς βιοτικού επιπέδου, όπως επιτάσσει και το άρθρο 28 της Σύμβασης των ΗΕ για τα Δικαιώματα των Ατόμων με Αναπηρίες.</w:t>
            </w:r>
          </w:p>
          <w:p w14:paraId="23516B20" w14:textId="77777777" w:rsidR="007341FB" w:rsidRPr="007341FB" w:rsidRDefault="007341FB" w:rsidP="007341FB">
            <w:pPr>
              <w:spacing w:after="120" w:line="240" w:lineRule="auto"/>
              <w:jc w:val="both"/>
              <w:rPr>
                <w:rFonts w:ascii="Constantia" w:hAnsi="Constantia"/>
                <w:sz w:val="23"/>
                <w:szCs w:val="23"/>
                <w:lang w:val="el-GR"/>
              </w:rPr>
            </w:pPr>
            <w:r w:rsidRPr="007341FB">
              <w:rPr>
                <w:rFonts w:ascii="Constantia" w:hAnsi="Constantia"/>
                <w:sz w:val="23"/>
                <w:szCs w:val="23"/>
                <w:lang w:val="el-GR"/>
              </w:rPr>
              <w:t xml:space="preserve">Με δεδομένη ωστόσο και τη δημογραφική γήρανση που εκ των πραγμάτων οδηγεί σε αύξηση των </w:t>
            </w:r>
            <w:proofErr w:type="spellStart"/>
            <w:r w:rsidRPr="007341FB">
              <w:rPr>
                <w:rFonts w:ascii="Constantia" w:hAnsi="Constantia"/>
                <w:sz w:val="23"/>
                <w:szCs w:val="23"/>
                <w:lang w:val="el-GR"/>
              </w:rPr>
              <w:t>χρονίων</w:t>
            </w:r>
            <w:proofErr w:type="spellEnd"/>
            <w:r w:rsidRPr="007341FB">
              <w:rPr>
                <w:rFonts w:ascii="Constantia" w:hAnsi="Constantia"/>
                <w:sz w:val="23"/>
                <w:szCs w:val="23"/>
                <w:lang w:val="el-GR"/>
              </w:rPr>
              <w:t xml:space="preserve"> παθήσεων και των αναπηριών, είναι σαφές ότι απαιτείται άμεση αλλαγή πλεύσης και ενίσχυση των κοινωνικών παροχών, με ειδική μέριμνα για τους πλέον ευάλωτους πολίτες. Σήμερα, τα άτομα με αναπηρία, χρόνιες ή/και σπάνιες παθήσεις και οι οικογένειές τους βιώνουν με τον πλέον δραματικό τρόπο τις επιπτώσεις των πολλαπλών κρίσεων που αντιμετωπίζουν οι σύγχρονες κοινωνίες, αδυνατώντας πλέον σε μεγάλο ποσοστό να καλύψουν ακόμα και βασικές καθημερινές ανάγκες διαβίωσης.</w:t>
            </w:r>
          </w:p>
          <w:p w14:paraId="033E02B6" w14:textId="0587691E" w:rsidR="004C4C0A" w:rsidRPr="006B62B8" w:rsidRDefault="007341FB" w:rsidP="007341FB">
            <w:pPr>
              <w:spacing w:after="120" w:line="240" w:lineRule="auto"/>
              <w:jc w:val="both"/>
              <w:rPr>
                <w:lang w:val="el-GR"/>
              </w:rPr>
            </w:pPr>
            <w:r w:rsidRPr="007341FB">
              <w:rPr>
                <w:rFonts w:ascii="Constantia" w:hAnsi="Constantia"/>
                <w:sz w:val="23"/>
                <w:szCs w:val="23"/>
                <w:lang w:val="el-GR"/>
              </w:rPr>
              <w:t>Η ανάγκη μιας ολοκληρωμένης προσέγγισης για την προστασία των ατόμων με αναπηρία, χρόνιες παθήσεις και των οικογενειών τους από τη φτώχεια και τον κοινωνικό αποκλεισμό αποτελεί για την ΕΣΑμεΑ ύψιστη διεκδίκηση και πολιτική προτεραιότητα.</w:t>
            </w:r>
          </w:p>
        </w:tc>
      </w:tr>
    </w:tbl>
    <w:p w14:paraId="37E0C3B9" w14:textId="77777777" w:rsidR="007F7EFE" w:rsidRPr="007341FB" w:rsidRDefault="007F7EFE">
      <w:pPr>
        <w:spacing w:after="0" w:line="240" w:lineRule="auto"/>
        <w:rPr>
          <w:rFonts w:asciiTheme="majorHAnsi" w:eastAsiaTheme="majorEastAsia" w:hAnsiTheme="majorHAnsi" w:cstheme="majorBidi"/>
          <w:sz w:val="32"/>
          <w:szCs w:val="32"/>
          <w:lang w:val="el-GR"/>
        </w:rPr>
      </w:pPr>
      <w:bookmarkStart w:id="5" w:name="_Toc135310539"/>
      <w:bookmarkEnd w:id="4"/>
      <w:r w:rsidRPr="007341FB">
        <w:rPr>
          <w:lang w:val="el-GR"/>
        </w:rPr>
        <w:br w:type="page"/>
      </w:r>
    </w:p>
    <w:p w14:paraId="31DB9516" w14:textId="3959DEE7" w:rsidR="003677F5" w:rsidRDefault="003677F5" w:rsidP="003363E1">
      <w:pPr>
        <w:pStyle w:val="Heading1"/>
        <w:numPr>
          <w:ilvl w:val="0"/>
          <w:numId w:val="0"/>
        </w:numPr>
        <w:spacing w:before="360" w:after="480"/>
        <w:jc w:val="center"/>
        <w:rPr>
          <w:b/>
          <w:bCs/>
          <w:color w:val="auto"/>
          <w:u w:val="single"/>
          <w:lang w:val="el-GR"/>
        </w:rPr>
      </w:pPr>
      <w:bookmarkStart w:id="6" w:name="_Toc222493316"/>
      <w:r w:rsidRPr="007646CD">
        <w:rPr>
          <w:b/>
          <w:bCs/>
          <w:color w:val="auto"/>
          <w:u w:val="single"/>
          <w:lang w:val="el-GR"/>
        </w:rPr>
        <w:lastRenderedPageBreak/>
        <w:t>Α</w:t>
      </w:r>
      <w:bookmarkEnd w:id="5"/>
      <w:r w:rsidR="00521D8A">
        <w:rPr>
          <w:b/>
          <w:bCs/>
          <w:color w:val="auto"/>
          <w:u w:val="single"/>
          <w:lang w:val="el-GR"/>
        </w:rPr>
        <w:t>νάλυση Ευρημάτων</w:t>
      </w:r>
      <w:bookmarkEnd w:id="6"/>
    </w:p>
    <w:p w14:paraId="2162F784" w14:textId="77777777" w:rsidR="008F60CC" w:rsidRDefault="008F60CC" w:rsidP="008F60CC">
      <w:pPr>
        <w:pStyle w:val="Heading2"/>
        <w:tabs>
          <w:tab w:val="left" w:pos="360"/>
        </w:tabs>
        <w:spacing w:before="360" w:after="240"/>
        <w:ind w:left="426" w:right="-142" w:hanging="426"/>
        <w:rPr>
          <w:sz w:val="24"/>
          <w:szCs w:val="24"/>
        </w:rPr>
      </w:pPr>
      <w:bookmarkStart w:id="7" w:name="_Toc25320"/>
      <w:bookmarkStart w:id="8" w:name="_Toc222493317"/>
      <w:bookmarkStart w:id="9" w:name="_Toc507672671"/>
      <w:bookmarkStart w:id="10" w:name="_Hlk219979347"/>
      <w:r>
        <w:t>Παροχές κοινωνικής προστασίας</w:t>
      </w:r>
      <w:bookmarkEnd w:id="7"/>
      <w:bookmarkEnd w:id="8"/>
    </w:p>
    <w:p w14:paraId="6CBE402B" w14:textId="77777777" w:rsidR="008F60CC" w:rsidRPr="008F60CC" w:rsidRDefault="008F60CC" w:rsidP="008F60CC">
      <w:pPr>
        <w:pStyle w:val="Caption"/>
        <w:spacing w:before="240" w:after="120"/>
        <w:jc w:val="both"/>
        <w:rPr>
          <w:rFonts w:ascii="Constantia" w:hAnsi="Constantia"/>
          <w:i w:val="0"/>
          <w:iCs w:val="0"/>
          <w:color w:val="auto"/>
          <w:sz w:val="24"/>
          <w:szCs w:val="24"/>
          <w:lang w:val="el-GR"/>
        </w:rPr>
      </w:pPr>
      <w:r w:rsidRPr="008F60CC">
        <w:rPr>
          <w:rFonts w:ascii="Constantia" w:hAnsi="Constantia"/>
          <w:i w:val="0"/>
          <w:iCs w:val="0"/>
          <w:color w:val="auto"/>
          <w:sz w:val="24"/>
          <w:szCs w:val="24"/>
          <w:lang w:val="el-GR"/>
        </w:rPr>
        <w:t>Οι συνολικές (ακαθάριστες</w:t>
      </w:r>
      <w:r w:rsidRPr="008F60CC">
        <w:rPr>
          <w:rStyle w:val="FootnoteReference"/>
          <w:rFonts w:ascii="Constantia" w:hAnsi="Constantia"/>
          <w:i w:val="0"/>
          <w:iCs w:val="0"/>
          <w:color w:val="auto"/>
          <w:sz w:val="24"/>
          <w:szCs w:val="24"/>
          <w:lang w:val="el-GR"/>
        </w:rPr>
        <w:footnoteReference w:id="2"/>
      </w:r>
      <w:r w:rsidRPr="008F60CC">
        <w:rPr>
          <w:rFonts w:ascii="Constantia" w:hAnsi="Constantia"/>
          <w:i w:val="0"/>
          <w:iCs w:val="0"/>
          <w:color w:val="auto"/>
          <w:sz w:val="24"/>
          <w:szCs w:val="24"/>
          <w:lang w:val="el-GR"/>
        </w:rPr>
        <w:t>) παροχές κοινωνικής προστασίας στην Ελλάδα ανήλθαν το 2022 σε 49.614 εκατομμύρια ευρώ</w:t>
      </w:r>
      <w:r w:rsidRPr="008F60CC">
        <w:rPr>
          <w:rStyle w:val="FootnoteReference"/>
          <w:rFonts w:ascii="Constantia" w:hAnsi="Constantia"/>
          <w:i w:val="0"/>
          <w:iCs w:val="0"/>
          <w:color w:val="auto"/>
          <w:sz w:val="24"/>
          <w:szCs w:val="24"/>
          <w:lang w:val="el-GR"/>
        </w:rPr>
        <w:footnoteReference w:id="3"/>
      </w:r>
      <w:r w:rsidRPr="008F60CC">
        <w:rPr>
          <w:rFonts w:ascii="Constantia" w:hAnsi="Constantia"/>
          <w:i w:val="0"/>
          <w:iCs w:val="0"/>
          <w:color w:val="auto"/>
          <w:sz w:val="24"/>
          <w:szCs w:val="24"/>
          <w:lang w:val="el-GR"/>
        </w:rPr>
        <w:t xml:space="preserve">. Στο </w:t>
      </w:r>
      <w:r w:rsidRPr="008F60CC">
        <w:rPr>
          <w:rFonts w:ascii="Constantia" w:hAnsi="Constantia"/>
          <w:i w:val="0"/>
          <w:iCs w:val="0"/>
          <w:color w:val="1C6194" w:themeColor="accent2" w:themeShade="BF"/>
          <w:sz w:val="24"/>
          <w:szCs w:val="24"/>
          <w:lang w:val="el-GR"/>
        </w:rPr>
        <w:fldChar w:fldCharType="begin"/>
      </w:r>
      <w:r w:rsidRPr="008F60CC">
        <w:rPr>
          <w:rFonts w:ascii="Constantia" w:hAnsi="Constantia"/>
          <w:i w:val="0"/>
          <w:iCs w:val="0"/>
          <w:color w:val="1C6194" w:themeColor="accent2" w:themeShade="BF"/>
          <w:sz w:val="24"/>
          <w:szCs w:val="24"/>
          <w:lang w:val="el-GR"/>
        </w:rPr>
        <w:instrText xml:space="preserve"> REF _Ref202276022 \h  \* MERGEFORMAT </w:instrText>
      </w:r>
      <w:r w:rsidRPr="008F60CC">
        <w:rPr>
          <w:rFonts w:ascii="Constantia" w:hAnsi="Constantia"/>
          <w:i w:val="0"/>
          <w:iCs w:val="0"/>
          <w:color w:val="1C6194" w:themeColor="accent2" w:themeShade="BF"/>
          <w:sz w:val="24"/>
          <w:szCs w:val="24"/>
          <w:lang w:val="el-GR"/>
        </w:rPr>
      </w:r>
      <w:r w:rsidRPr="008F60CC">
        <w:rPr>
          <w:rFonts w:ascii="Constantia" w:hAnsi="Constantia"/>
          <w:i w:val="0"/>
          <w:iCs w:val="0"/>
          <w:color w:val="1C6194" w:themeColor="accent2" w:themeShade="BF"/>
          <w:sz w:val="24"/>
          <w:szCs w:val="24"/>
          <w:lang w:val="el-GR"/>
        </w:rPr>
        <w:fldChar w:fldCharType="separate"/>
      </w:r>
      <w:r w:rsidRPr="008F60CC">
        <w:rPr>
          <w:rFonts w:ascii="Constantia" w:hAnsi="Constantia" w:cstheme="majorHAnsi"/>
          <w:i w:val="0"/>
          <w:iCs w:val="0"/>
          <w:color w:val="1C6194" w:themeColor="accent2" w:themeShade="BF"/>
          <w:sz w:val="24"/>
          <w:szCs w:val="24"/>
          <w:lang w:val="el-GR"/>
        </w:rPr>
        <w:t>Γράφημα 1</w:t>
      </w:r>
      <w:r w:rsidRPr="008F60CC">
        <w:rPr>
          <w:rFonts w:ascii="Constantia" w:hAnsi="Constantia"/>
          <w:i w:val="0"/>
          <w:iCs w:val="0"/>
          <w:color w:val="1C6194" w:themeColor="accent2" w:themeShade="BF"/>
          <w:sz w:val="24"/>
          <w:szCs w:val="24"/>
          <w:lang w:val="el-GR"/>
        </w:rPr>
        <w:fldChar w:fldCharType="end"/>
      </w:r>
      <w:r w:rsidRPr="008F60CC">
        <w:rPr>
          <w:rFonts w:ascii="Constantia" w:hAnsi="Constantia"/>
          <w:i w:val="0"/>
          <w:iCs w:val="0"/>
          <w:color w:val="auto"/>
          <w:sz w:val="24"/>
          <w:szCs w:val="24"/>
          <w:lang w:val="el-GR"/>
        </w:rPr>
        <w:t xml:space="preserve"> παρουσιάζεται η διαχρονική εξέλιξη των δαπανών κατά τα έτη 2012-2022. Οι παροχές κοινωνικής προστασίας καταγράφουν μια συνεχόμενη πτωτική πορεία το διάστημα 2012 -2017, ενώ από το 2018 και ύστερα, καταγράφεται αυξητική τάση.</w:t>
      </w:r>
    </w:p>
    <w:p w14:paraId="59B09AD2" w14:textId="77777777" w:rsidR="008F60CC" w:rsidRPr="008F60CC" w:rsidRDefault="008F60CC" w:rsidP="008F60CC">
      <w:pPr>
        <w:pStyle w:val="Caption"/>
        <w:spacing w:before="240" w:after="120"/>
        <w:jc w:val="center"/>
        <w:rPr>
          <w:rFonts w:asciiTheme="majorHAnsi" w:hAnsiTheme="majorHAnsi" w:cstheme="majorHAnsi"/>
          <w:i w:val="0"/>
          <w:iCs w:val="0"/>
          <w:color w:val="1C6194" w:themeColor="accent2" w:themeShade="BF"/>
          <w:sz w:val="24"/>
          <w:szCs w:val="24"/>
          <w:lang w:val="el-GR"/>
        </w:rPr>
      </w:pPr>
      <w:bookmarkStart w:id="11" w:name="_Ref202276022"/>
      <w:bookmarkStart w:id="12" w:name="_Toc201687249"/>
      <w:bookmarkStart w:id="13" w:name="_Toc222493355"/>
      <w:r w:rsidRPr="008F60CC">
        <w:rPr>
          <w:rFonts w:asciiTheme="majorHAnsi" w:hAnsiTheme="majorHAnsi" w:cstheme="majorHAnsi"/>
          <w:b/>
          <w:bCs/>
          <w:i w:val="0"/>
          <w:iCs w:val="0"/>
          <w:color w:val="1C6194" w:themeColor="accent2" w:themeShade="BF"/>
          <w:sz w:val="24"/>
          <w:szCs w:val="24"/>
          <w:lang w:val="el-GR"/>
        </w:rPr>
        <w:t xml:space="preserve">Γράφημα </w:t>
      </w:r>
      <w:r w:rsidRPr="008F60CC">
        <w:rPr>
          <w:rFonts w:asciiTheme="majorHAnsi" w:hAnsiTheme="majorHAnsi" w:cstheme="majorHAnsi"/>
          <w:b/>
          <w:bCs/>
          <w:i w:val="0"/>
          <w:iCs w:val="0"/>
          <w:color w:val="1C6194" w:themeColor="accent2" w:themeShade="BF"/>
          <w:sz w:val="24"/>
          <w:szCs w:val="24"/>
          <w:lang w:val="el-GR"/>
        </w:rPr>
        <w:fldChar w:fldCharType="begin"/>
      </w:r>
      <w:r w:rsidRPr="008F60CC">
        <w:rPr>
          <w:rFonts w:asciiTheme="majorHAnsi" w:hAnsiTheme="majorHAnsi" w:cstheme="majorHAnsi"/>
          <w:b/>
          <w:bCs/>
          <w:i w:val="0"/>
          <w:iCs w:val="0"/>
          <w:color w:val="1C6194" w:themeColor="accent2" w:themeShade="BF"/>
          <w:sz w:val="24"/>
          <w:szCs w:val="24"/>
          <w:lang w:val="el-GR"/>
        </w:rPr>
        <w:instrText xml:space="preserve"> SEQ Γράφημα \* ARABIC </w:instrText>
      </w:r>
      <w:r w:rsidRPr="008F60CC">
        <w:rPr>
          <w:rFonts w:asciiTheme="majorHAnsi" w:hAnsiTheme="majorHAnsi" w:cstheme="majorHAnsi"/>
          <w:b/>
          <w:bCs/>
          <w:i w:val="0"/>
          <w:iCs w:val="0"/>
          <w:color w:val="1C6194" w:themeColor="accent2" w:themeShade="BF"/>
          <w:sz w:val="24"/>
          <w:szCs w:val="24"/>
          <w:lang w:val="el-GR"/>
        </w:rPr>
        <w:fldChar w:fldCharType="separate"/>
      </w:r>
      <w:r w:rsidRPr="008F60CC">
        <w:rPr>
          <w:rFonts w:asciiTheme="majorHAnsi" w:hAnsiTheme="majorHAnsi" w:cstheme="majorHAnsi"/>
          <w:b/>
          <w:bCs/>
          <w:i w:val="0"/>
          <w:iCs w:val="0"/>
          <w:color w:val="1C6194" w:themeColor="accent2" w:themeShade="BF"/>
          <w:sz w:val="24"/>
          <w:szCs w:val="24"/>
          <w:lang w:val="el-GR"/>
        </w:rPr>
        <w:t>1</w:t>
      </w:r>
      <w:r w:rsidRPr="008F60CC">
        <w:rPr>
          <w:rFonts w:asciiTheme="majorHAnsi" w:hAnsiTheme="majorHAnsi" w:cstheme="majorHAnsi"/>
          <w:b/>
          <w:bCs/>
          <w:i w:val="0"/>
          <w:iCs w:val="0"/>
          <w:color w:val="1C6194" w:themeColor="accent2" w:themeShade="BF"/>
          <w:sz w:val="24"/>
          <w:szCs w:val="24"/>
          <w:lang w:val="el-GR"/>
        </w:rPr>
        <w:fldChar w:fldCharType="end"/>
      </w:r>
      <w:bookmarkEnd w:id="11"/>
      <w:r w:rsidRPr="008F60CC">
        <w:rPr>
          <w:rFonts w:asciiTheme="majorHAnsi" w:hAnsiTheme="majorHAnsi" w:cstheme="majorHAnsi"/>
          <w:i w:val="0"/>
          <w:iCs w:val="0"/>
          <w:color w:val="1C6194" w:themeColor="accent2" w:themeShade="BF"/>
          <w:sz w:val="24"/>
          <w:szCs w:val="24"/>
          <w:lang w:val="el-GR"/>
        </w:rPr>
        <w:t>: Σύνολο παροχών Κοινωνικής Προστασίας στην Ελλάδα (σε εκατομμύρια €)</w:t>
      </w:r>
      <w:bookmarkEnd w:id="12"/>
      <w:bookmarkEnd w:id="13"/>
    </w:p>
    <w:p w14:paraId="67304506" w14:textId="77777777" w:rsidR="008F60CC" w:rsidRDefault="008F60CC" w:rsidP="008F60CC">
      <w:pPr>
        <w:rPr>
          <w:highlight w:val="red"/>
        </w:rPr>
      </w:pPr>
      <w:r>
        <w:rPr>
          <w:noProof/>
          <w:lang w:val="el-GR" w:eastAsia="el-GR"/>
        </w:rPr>
        <w:drawing>
          <wp:inline distT="0" distB="0" distL="0" distR="0" wp14:anchorId="313F5286" wp14:editId="654DA137">
            <wp:extent cx="5579745" cy="3318235"/>
            <wp:effectExtent l="0" t="0" r="1905" b="0"/>
            <wp:docPr id="931904073" name="Chart 1" descr="52.722 το 2012, 46.765 το 2013, 45.374 το 2014, 45.741 το 2015, 45.836 το 2016, 44.891 το 2017, 45.266 το 2018, 46.125 το 2019, 48.142 το 2020, 48.600 το 2021, 49.614 το 2022.&#10;">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1D4F61C" w14:textId="77777777" w:rsidR="008F60CC" w:rsidRPr="008F60CC" w:rsidRDefault="008F60CC" w:rsidP="008F60CC">
      <w:pPr>
        <w:pStyle w:val="Caption"/>
        <w:spacing w:after="240"/>
        <w:jc w:val="center"/>
        <w:rPr>
          <w:rFonts w:asciiTheme="majorHAnsi" w:hAnsiTheme="majorHAnsi" w:cstheme="majorHAnsi"/>
          <w:color w:val="1C6194" w:themeColor="accent2" w:themeShade="BF"/>
          <w:lang w:val="el-GR"/>
        </w:rPr>
      </w:pPr>
      <w:r w:rsidRPr="008F60CC">
        <w:rPr>
          <w:rFonts w:asciiTheme="majorHAnsi" w:hAnsiTheme="majorHAnsi" w:cstheme="majorHAnsi"/>
          <w:b/>
          <w:bCs/>
          <w:color w:val="1C6194" w:themeColor="accent2" w:themeShade="BF"/>
          <w:lang w:val="el-GR"/>
        </w:rPr>
        <w:t>Πηγή</w:t>
      </w:r>
      <w:r w:rsidRPr="008F60CC">
        <w:rPr>
          <w:rFonts w:asciiTheme="majorHAnsi" w:hAnsiTheme="majorHAnsi" w:cstheme="majorHAnsi"/>
          <w:color w:val="1C6194" w:themeColor="accent2" w:themeShade="BF"/>
          <w:lang w:val="el-GR"/>
        </w:rPr>
        <w:t xml:space="preserve">: Ελληνική Στατιστική Αρχή, Ευρωπαϊκό Σύστημα Ολοκληρωμένων Στατιστικών Κοινωνικής Προστασίας (ESSPROS) </w:t>
      </w:r>
      <w:r w:rsidRPr="008F60CC">
        <w:rPr>
          <w:rFonts w:asciiTheme="majorHAnsi" w:hAnsiTheme="majorHAnsi" w:cstheme="majorHAnsi"/>
          <w:b/>
          <w:bCs/>
          <w:color w:val="1C6194" w:themeColor="accent2" w:themeShade="BF"/>
          <w:lang w:val="el-GR"/>
        </w:rPr>
        <w:t>Επεξεργασία</w:t>
      </w:r>
      <w:r w:rsidRPr="008F60CC">
        <w:rPr>
          <w:rFonts w:asciiTheme="majorHAnsi" w:hAnsiTheme="majorHAnsi" w:cstheme="majorHAnsi"/>
          <w:color w:val="1C6194" w:themeColor="accent2" w:themeShade="BF"/>
          <w:lang w:val="el-GR"/>
        </w:rPr>
        <w:t>: Παρατηρητήριο Θεμάτων Αναπηρίας-Ε.Σ.Α.μεΑ.</w:t>
      </w:r>
    </w:p>
    <w:p w14:paraId="21F25E79" w14:textId="77777777" w:rsidR="008F60CC" w:rsidRPr="008F60CC" w:rsidRDefault="008F60CC" w:rsidP="008F60CC">
      <w:pPr>
        <w:jc w:val="both"/>
        <w:rPr>
          <w:rFonts w:ascii="Constantia" w:hAnsi="Constantia"/>
          <w:sz w:val="24"/>
          <w:szCs w:val="24"/>
          <w:lang w:val="el-GR"/>
        </w:rPr>
      </w:pPr>
      <w:r w:rsidRPr="008F60CC">
        <w:rPr>
          <w:rFonts w:ascii="Constantia" w:hAnsi="Constantia"/>
          <w:sz w:val="24"/>
          <w:szCs w:val="24"/>
          <w:lang w:val="el-GR"/>
        </w:rPr>
        <w:t>Η σύγκριση των παροχών κοινωνικής προστασίας στην Ελλάδα με τα επίπεδα των παροχών στις υπόλοιπες χώρες της Ευρώπης καθίσταται δυνατή με τη χρήση του δείκτη «Κατά κεφαλή δαπάνη για παροχές κοινωνικής προστασίας σε μονάδες αγοραστικής δύναμης</w:t>
      </w:r>
      <w:r w:rsidRPr="008F60CC">
        <w:rPr>
          <w:rFonts w:ascii="Constantia" w:hAnsi="Constantia"/>
          <w:i/>
          <w:vertAlign w:val="superscript"/>
        </w:rPr>
        <w:footnoteReference w:id="4"/>
      </w:r>
      <w:r w:rsidRPr="008F60CC">
        <w:rPr>
          <w:rFonts w:ascii="Constantia" w:hAnsi="Constantia"/>
          <w:lang w:val="el-GR"/>
        </w:rPr>
        <w:t xml:space="preserve">». </w:t>
      </w:r>
      <w:bookmarkStart w:id="14" w:name="_Hlk165282352"/>
      <w:r w:rsidRPr="008F60CC">
        <w:rPr>
          <w:rFonts w:ascii="Constantia" w:hAnsi="Constantia"/>
          <w:sz w:val="24"/>
          <w:szCs w:val="24"/>
          <w:lang w:val="el-GR"/>
        </w:rPr>
        <w:t xml:space="preserve">Εξαλείφοντας λοιπόν την επίδραση των διαφορετικών </w:t>
      </w:r>
      <w:r w:rsidRPr="008F60CC">
        <w:rPr>
          <w:rFonts w:ascii="Constantia" w:hAnsi="Constantia"/>
          <w:sz w:val="24"/>
          <w:szCs w:val="24"/>
          <w:lang w:val="el-GR"/>
        </w:rPr>
        <w:lastRenderedPageBreak/>
        <w:t xml:space="preserve">επιπέδων των τιμών στις διαφορετικές χώρες υπολογίζεται η κατά κεφαλή εθνική δαπάνη για παροχές κοινωνικής προστασίας, η οποία για την Ελλάδα είναι 5.697 (ΜΑΔ), όντας κατά 43% χαμηλότερη από τον μέσο όρο της Ε.Ε.-27 (10.013). Όπως διαπιστώνει κανείς στο </w:t>
      </w:r>
      <w:r w:rsidRPr="008F60CC">
        <w:rPr>
          <w:rFonts w:ascii="Constantia" w:hAnsi="Constantia"/>
          <w:color w:val="1C6194" w:themeColor="accent2" w:themeShade="BF"/>
          <w:sz w:val="24"/>
          <w:szCs w:val="24"/>
          <w:lang w:val="el-GR"/>
        </w:rPr>
        <w:fldChar w:fldCharType="begin"/>
      </w:r>
      <w:r w:rsidRPr="008F60CC">
        <w:rPr>
          <w:rFonts w:ascii="Constantia" w:hAnsi="Constantia"/>
          <w:color w:val="1C6194" w:themeColor="accent2" w:themeShade="BF"/>
          <w:sz w:val="24"/>
          <w:szCs w:val="24"/>
          <w:lang w:val="el-GR"/>
        </w:rPr>
        <w:instrText xml:space="preserve"> REF _Ref202277585 \h  \* MERGEFORMAT </w:instrText>
      </w:r>
      <w:r w:rsidRPr="008F60CC">
        <w:rPr>
          <w:rFonts w:ascii="Constantia" w:hAnsi="Constantia"/>
          <w:color w:val="1C6194" w:themeColor="accent2" w:themeShade="BF"/>
          <w:sz w:val="24"/>
          <w:szCs w:val="24"/>
          <w:lang w:val="el-GR"/>
        </w:rPr>
      </w:r>
      <w:r w:rsidRPr="008F60CC">
        <w:rPr>
          <w:rFonts w:ascii="Constantia" w:hAnsi="Constantia"/>
          <w:color w:val="1C6194" w:themeColor="accent2" w:themeShade="BF"/>
          <w:sz w:val="24"/>
          <w:szCs w:val="24"/>
          <w:lang w:val="el-GR"/>
        </w:rPr>
        <w:fldChar w:fldCharType="separate"/>
      </w:r>
      <w:r w:rsidRPr="008F60CC">
        <w:rPr>
          <w:rFonts w:ascii="Constantia" w:hAnsi="Constantia" w:cstheme="majorHAnsi"/>
          <w:color w:val="1C6194" w:themeColor="accent2" w:themeShade="BF"/>
          <w:sz w:val="24"/>
          <w:szCs w:val="24"/>
          <w:lang w:val="el-GR"/>
        </w:rPr>
        <w:t>Γράφημα 2</w:t>
      </w:r>
      <w:r w:rsidRPr="008F60CC">
        <w:rPr>
          <w:rFonts w:ascii="Constantia" w:hAnsi="Constantia"/>
          <w:color w:val="1C6194" w:themeColor="accent2" w:themeShade="BF"/>
          <w:sz w:val="24"/>
          <w:szCs w:val="24"/>
          <w:lang w:val="el-GR"/>
        </w:rPr>
        <w:fldChar w:fldCharType="end"/>
      </w:r>
      <w:r w:rsidRPr="008F60CC">
        <w:rPr>
          <w:rFonts w:ascii="Constantia" w:hAnsi="Constantia"/>
          <w:sz w:val="24"/>
          <w:szCs w:val="24"/>
          <w:lang w:val="el-GR"/>
        </w:rPr>
        <w:t>, οι δαπάνες για κοινωνική προστασία στην Ελλάδα κυμαίνονται σε χαμηλότερα επίπεδα και από τις υπόλοιπες χώρες του ευρωπαϊκού νότου.</w:t>
      </w:r>
    </w:p>
    <w:p w14:paraId="6A1F1AAD" w14:textId="77777777" w:rsidR="008F60CC" w:rsidRPr="008F60CC" w:rsidRDefault="008F60CC" w:rsidP="008F60CC">
      <w:pPr>
        <w:pStyle w:val="Caption"/>
        <w:spacing w:before="240" w:after="120"/>
        <w:jc w:val="center"/>
        <w:rPr>
          <w:rFonts w:asciiTheme="majorHAnsi" w:hAnsiTheme="majorHAnsi" w:cstheme="majorHAnsi"/>
          <w:i w:val="0"/>
          <w:iCs w:val="0"/>
          <w:color w:val="1C6194" w:themeColor="accent2" w:themeShade="BF"/>
          <w:sz w:val="24"/>
          <w:szCs w:val="24"/>
          <w:lang w:val="el-GR"/>
        </w:rPr>
      </w:pPr>
      <w:bookmarkStart w:id="15" w:name="_Ref202277585"/>
      <w:bookmarkStart w:id="16" w:name="_Toc201687250"/>
      <w:bookmarkStart w:id="17" w:name="_Toc222493356"/>
      <w:bookmarkEnd w:id="14"/>
      <w:r w:rsidRPr="008F60CC">
        <w:rPr>
          <w:rFonts w:asciiTheme="majorHAnsi" w:hAnsiTheme="majorHAnsi" w:cstheme="majorHAnsi"/>
          <w:b/>
          <w:bCs/>
          <w:i w:val="0"/>
          <w:iCs w:val="0"/>
          <w:color w:val="1C6194" w:themeColor="accent2" w:themeShade="BF"/>
          <w:sz w:val="24"/>
          <w:szCs w:val="24"/>
          <w:lang w:val="el-GR"/>
        </w:rPr>
        <w:t xml:space="preserve">Γράφημα </w:t>
      </w:r>
      <w:r w:rsidRPr="008F60CC">
        <w:rPr>
          <w:rFonts w:asciiTheme="majorHAnsi" w:hAnsiTheme="majorHAnsi" w:cstheme="majorHAnsi"/>
          <w:b/>
          <w:bCs/>
          <w:i w:val="0"/>
          <w:iCs w:val="0"/>
          <w:color w:val="1C6194" w:themeColor="accent2" w:themeShade="BF"/>
          <w:sz w:val="24"/>
          <w:szCs w:val="24"/>
          <w:lang w:val="el-GR"/>
        </w:rPr>
        <w:fldChar w:fldCharType="begin"/>
      </w:r>
      <w:r w:rsidRPr="008F60CC">
        <w:rPr>
          <w:rFonts w:asciiTheme="majorHAnsi" w:hAnsiTheme="majorHAnsi" w:cstheme="majorHAnsi"/>
          <w:b/>
          <w:bCs/>
          <w:i w:val="0"/>
          <w:iCs w:val="0"/>
          <w:color w:val="1C6194" w:themeColor="accent2" w:themeShade="BF"/>
          <w:sz w:val="24"/>
          <w:szCs w:val="24"/>
          <w:lang w:val="el-GR"/>
        </w:rPr>
        <w:instrText xml:space="preserve"> SEQ Γράφημα \* ARABIC </w:instrText>
      </w:r>
      <w:r w:rsidRPr="008F60CC">
        <w:rPr>
          <w:rFonts w:asciiTheme="majorHAnsi" w:hAnsiTheme="majorHAnsi" w:cstheme="majorHAnsi"/>
          <w:b/>
          <w:bCs/>
          <w:i w:val="0"/>
          <w:iCs w:val="0"/>
          <w:color w:val="1C6194" w:themeColor="accent2" w:themeShade="BF"/>
          <w:sz w:val="24"/>
          <w:szCs w:val="24"/>
          <w:lang w:val="el-GR"/>
        </w:rPr>
        <w:fldChar w:fldCharType="separate"/>
      </w:r>
      <w:r w:rsidRPr="008F60CC">
        <w:rPr>
          <w:rFonts w:asciiTheme="majorHAnsi" w:hAnsiTheme="majorHAnsi" w:cstheme="majorHAnsi"/>
          <w:b/>
          <w:bCs/>
          <w:i w:val="0"/>
          <w:iCs w:val="0"/>
          <w:color w:val="1C6194" w:themeColor="accent2" w:themeShade="BF"/>
          <w:sz w:val="24"/>
          <w:szCs w:val="24"/>
          <w:lang w:val="el-GR"/>
        </w:rPr>
        <w:t>2</w:t>
      </w:r>
      <w:r w:rsidRPr="008F60CC">
        <w:rPr>
          <w:rFonts w:asciiTheme="majorHAnsi" w:hAnsiTheme="majorHAnsi" w:cstheme="majorHAnsi"/>
          <w:b/>
          <w:bCs/>
          <w:i w:val="0"/>
          <w:iCs w:val="0"/>
          <w:color w:val="1C6194" w:themeColor="accent2" w:themeShade="BF"/>
          <w:sz w:val="24"/>
          <w:szCs w:val="24"/>
          <w:lang w:val="el-GR"/>
        </w:rPr>
        <w:fldChar w:fldCharType="end"/>
      </w:r>
      <w:bookmarkEnd w:id="15"/>
      <w:r w:rsidRPr="008F60CC">
        <w:rPr>
          <w:rFonts w:asciiTheme="majorHAnsi" w:hAnsiTheme="majorHAnsi" w:cstheme="majorHAnsi"/>
          <w:i w:val="0"/>
          <w:iCs w:val="0"/>
          <w:color w:val="1C6194" w:themeColor="accent2" w:themeShade="BF"/>
          <w:sz w:val="24"/>
          <w:szCs w:val="24"/>
          <w:lang w:val="el-GR"/>
        </w:rPr>
        <w:t>: Κατά Κεφαλήν Δαπάνη για παροχές κοινωνικής προστασίας (Σύνολο) σε Μονάδες Αγοραστικής Δύναμης (PURCHASING POWER STANDARD) για το έτος 2022</w:t>
      </w:r>
      <w:bookmarkEnd w:id="16"/>
      <w:bookmarkEnd w:id="17"/>
    </w:p>
    <w:p w14:paraId="464F4D11" w14:textId="77777777" w:rsidR="008F60CC" w:rsidRDefault="008F60CC" w:rsidP="008F60CC">
      <w:pPr>
        <w:rPr>
          <w:b/>
          <w:iCs/>
        </w:rPr>
      </w:pPr>
      <w:r>
        <w:rPr>
          <w:noProof/>
          <w:lang w:val="el-GR" w:eastAsia="el-GR"/>
        </w:rPr>
        <w:drawing>
          <wp:inline distT="0" distB="0" distL="0" distR="0" wp14:anchorId="6E2EA035" wp14:editId="0DC4FA4F">
            <wp:extent cx="5579745" cy="6231117"/>
            <wp:effectExtent l="0" t="0" r="1905" b="0"/>
            <wp:docPr id="740026582" name="Chart 1" descr="Λουξεμβούργο: 17.012&#10;Αυστρία: 13.115&#10;Γερμανία: 13.097&#10;Ολλανδία: 12.755&#10;Δανία: 12.383&#10;Γαλλία: 12.083&#10;Βέλγιο: 11.523&#10;Φινλανδία: 11.174&#10;Σουηδία: 10.987&#10;Ευρωπαϊκή Ένωση - 27 χώρες (από το 2020): 10.063&#10;Ιταλία: 10.013&#10;Ιρλανδία: 7.997&#10;Ισπανία: 7.958&#10;Σλοβενία: 7.446&#10;Πορτογαλία: 6.744&#10;Κύπρος: 6.589&#10;Τσεχία: 6.494&#10;Πολωνία: 6.372&#10;Ελλάδα: 5.697&#10;Κροατία: 5.350&#10;Μάλτα: 5.329&#10;Λιθουανία: 5.304&#10;Ουγγαρία: 4.744&#10;Λετονία: 4.731&#10;Σλοβακία: 4.632&#10;Ρουμανία: 4.588&#10;Βουλγαρία: 4.568&#10;Εσθονία: 4.51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B4C666E" w14:textId="77777777" w:rsidR="008F60CC" w:rsidRPr="008F60CC" w:rsidRDefault="008F60CC" w:rsidP="008F60CC">
      <w:pPr>
        <w:pStyle w:val="Caption"/>
        <w:spacing w:after="240"/>
        <w:jc w:val="center"/>
        <w:rPr>
          <w:rFonts w:asciiTheme="majorHAnsi" w:hAnsiTheme="majorHAnsi" w:cstheme="majorHAnsi"/>
          <w:color w:val="1C6194" w:themeColor="accent2" w:themeShade="BF"/>
        </w:rPr>
      </w:pPr>
      <w:r w:rsidRPr="008F60CC">
        <w:rPr>
          <w:rFonts w:asciiTheme="majorHAnsi" w:hAnsiTheme="majorHAnsi" w:cstheme="majorHAnsi"/>
          <w:b/>
          <w:bCs/>
          <w:color w:val="1C6194" w:themeColor="accent2" w:themeShade="BF"/>
          <w:lang w:val="el-GR"/>
        </w:rPr>
        <w:t>Πηγή</w:t>
      </w:r>
      <w:r w:rsidRPr="008F60CC">
        <w:rPr>
          <w:rFonts w:asciiTheme="majorHAnsi" w:hAnsiTheme="majorHAnsi" w:cstheme="majorHAnsi"/>
          <w:color w:val="1C6194" w:themeColor="accent2" w:themeShade="BF"/>
        </w:rPr>
        <w:t xml:space="preserve">: Eurostat, </w:t>
      </w:r>
      <w:r w:rsidRPr="008F60CC">
        <w:rPr>
          <w:rFonts w:asciiTheme="majorHAnsi" w:hAnsiTheme="majorHAnsi" w:cstheme="majorHAnsi"/>
          <w:color w:val="1C6194" w:themeColor="accent2" w:themeShade="BF"/>
          <w:lang w:val="en-GB"/>
        </w:rPr>
        <w:t>European System of Integrated Social Protection Statistics</w:t>
      </w:r>
      <w:r w:rsidRPr="008F60CC">
        <w:rPr>
          <w:rFonts w:asciiTheme="majorHAnsi" w:hAnsiTheme="majorHAnsi" w:cstheme="majorHAnsi"/>
          <w:color w:val="1C6194" w:themeColor="accent2" w:themeShade="BF"/>
        </w:rPr>
        <w:t xml:space="preserve"> -ESSPROS (2022)</w:t>
      </w:r>
      <w:r w:rsidRPr="008F60CC">
        <w:rPr>
          <w:rFonts w:asciiTheme="majorHAnsi" w:hAnsiTheme="majorHAnsi" w:cstheme="majorHAnsi"/>
          <w:color w:val="1C6194" w:themeColor="accent2" w:themeShade="BF"/>
        </w:rPr>
        <w:br/>
      </w:r>
      <w:r w:rsidRPr="008F60CC">
        <w:rPr>
          <w:rFonts w:asciiTheme="majorHAnsi" w:hAnsiTheme="majorHAnsi" w:cstheme="majorHAnsi"/>
          <w:b/>
          <w:bCs/>
          <w:color w:val="1C6194" w:themeColor="accent2" w:themeShade="BF"/>
          <w:lang w:val="el-GR"/>
        </w:rPr>
        <w:t>Επεξεργασία</w:t>
      </w:r>
      <w:r w:rsidRPr="008F60CC">
        <w:rPr>
          <w:rFonts w:asciiTheme="majorHAnsi" w:hAnsiTheme="majorHAnsi" w:cstheme="majorHAnsi"/>
          <w:color w:val="1C6194" w:themeColor="accent2" w:themeShade="BF"/>
        </w:rPr>
        <w:t xml:space="preserve">: </w:t>
      </w:r>
      <w:r w:rsidRPr="008F60CC">
        <w:rPr>
          <w:rFonts w:asciiTheme="majorHAnsi" w:hAnsiTheme="majorHAnsi" w:cstheme="majorHAnsi"/>
          <w:color w:val="1C6194" w:themeColor="accent2" w:themeShade="BF"/>
          <w:lang w:val="el-GR"/>
        </w:rPr>
        <w:t>Παρατηρητήριο</w:t>
      </w:r>
      <w:r w:rsidRPr="008F60CC">
        <w:rPr>
          <w:rFonts w:asciiTheme="majorHAnsi" w:hAnsiTheme="majorHAnsi" w:cstheme="majorHAnsi"/>
          <w:color w:val="1C6194" w:themeColor="accent2" w:themeShade="BF"/>
        </w:rPr>
        <w:t xml:space="preserve"> </w:t>
      </w:r>
      <w:r w:rsidRPr="008F60CC">
        <w:rPr>
          <w:rFonts w:asciiTheme="majorHAnsi" w:hAnsiTheme="majorHAnsi" w:cstheme="majorHAnsi"/>
          <w:color w:val="1C6194" w:themeColor="accent2" w:themeShade="BF"/>
          <w:lang w:val="el-GR"/>
        </w:rPr>
        <w:t>Θεμάτων</w:t>
      </w:r>
      <w:r w:rsidRPr="008F60CC">
        <w:rPr>
          <w:rFonts w:asciiTheme="majorHAnsi" w:hAnsiTheme="majorHAnsi" w:cstheme="majorHAnsi"/>
          <w:color w:val="1C6194" w:themeColor="accent2" w:themeShade="BF"/>
        </w:rPr>
        <w:t xml:space="preserve"> </w:t>
      </w:r>
      <w:r w:rsidRPr="008F60CC">
        <w:rPr>
          <w:rFonts w:asciiTheme="majorHAnsi" w:hAnsiTheme="majorHAnsi" w:cstheme="majorHAnsi"/>
          <w:color w:val="1C6194" w:themeColor="accent2" w:themeShade="BF"/>
          <w:lang w:val="el-GR"/>
        </w:rPr>
        <w:t>Αναπηρίας</w:t>
      </w:r>
      <w:r w:rsidRPr="008F60CC">
        <w:rPr>
          <w:rFonts w:asciiTheme="majorHAnsi" w:hAnsiTheme="majorHAnsi" w:cstheme="majorHAnsi"/>
          <w:color w:val="1C6194" w:themeColor="accent2" w:themeShade="BF"/>
        </w:rPr>
        <w:t xml:space="preserve">- </w:t>
      </w:r>
      <w:r w:rsidRPr="008F60CC">
        <w:rPr>
          <w:rFonts w:asciiTheme="majorHAnsi" w:hAnsiTheme="majorHAnsi" w:cstheme="majorHAnsi"/>
          <w:color w:val="1C6194" w:themeColor="accent2" w:themeShade="BF"/>
          <w:lang w:val="el-GR"/>
        </w:rPr>
        <w:t>Ε</w:t>
      </w:r>
      <w:r w:rsidRPr="008F60CC">
        <w:rPr>
          <w:rFonts w:asciiTheme="majorHAnsi" w:hAnsiTheme="majorHAnsi" w:cstheme="majorHAnsi"/>
          <w:color w:val="1C6194" w:themeColor="accent2" w:themeShade="BF"/>
        </w:rPr>
        <w:t>.</w:t>
      </w:r>
      <w:r w:rsidRPr="008F60CC">
        <w:rPr>
          <w:rFonts w:asciiTheme="majorHAnsi" w:hAnsiTheme="majorHAnsi" w:cstheme="majorHAnsi"/>
          <w:color w:val="1C6194" w:themeColor="accent2" w:themeShade="BF"/>
          <w:lang w:val="el-GR"/>
        </w:rPr>
        <w:t>Σ</w:t>
      </w:r>
      <w:r w:rsidRPr="008F60CC">
        <w:rPr>
          <w:rFonts w:asciiTheme="majorHAnsi" w:hAnsiTheme="majorHAnsi" w:cstheme="majorHAnsi"/>
          <w:color w:val="1C6194" w:themeColor="accent2" w:themeShade="BF"/>
        </w:rPr>
        <w:t>.</w:t>
      </w:r>
      <w:r w:rsidRPr="008F60CC">
        <w:rPr>
          <w:rFonts w:asciiTheme="majorHAnsi" w:hAnsiTheme="majorHAnsi" w:cstheme="majorHAnsi"/>
          <w:color w:val="1C6194" w:themeColor="accent2" w:themeShade="BF"/>
          <w:lang w:val="el-GR"/>
        </w:rPr>
        <w:t>Α</w:t>
      </w:r>
      <w:r w:rsidRPr="008F60CC">
        <w:rPr>
          <w:rFonts w:asciiTheme="majorHAnsi" w:hAnsiTheme="majorHAnsi" w:cstheme="majorHAnsi"/>
          <w:color w:val="1C6194" w:themeColor="accent2" w:themeShade="BF"/>
        </w:rPr>
        <w:t>.</w:t>
      </w:r>
      <w:proofErr w:type="spellStart"/>
      <w:r w:rsidRPr="008F60CC">
        <w:rPr>
          <w:rFonts w:asciiTheme="majorHAnsi" w:hAnsiTheme="majorHAnsi" w:cstheme="majorHAnsi"/>
          <w:color w:val="1C6194" w:themeColor="accent2" w:themeShade="BF"/>
          <w:lang w:val="el-GR"/>
        </w:rPr>
        <w:t>μεΑ</w:t>
      </w:r>
      <w:proofErr w:type="spellEnd"/>
      <w:r w:rsidRPr="008F60CC">
        <w:rPr>
          <w:rFonts w:asciiTheme="majorHAnsi" w:hAnsiTheme="majorHAnsi" w:cstheme="majorHAnsi"/>
          <w:color w:val="1C6194" w:themeColor="accent2" w:themeShade="BF"/>
        </w:rPr>
        <w:t>.</w:t>
      </w:r>
    </w:p>
    <w:p w14:paraId="6D028152" w14:textId="619E4361" w:rsidR="008F60CC" w:rsidRPr="008F60CC" w:rsidRDefault="008F60CC" w:rsidP="008F60CC">
      <w:pPr>
        <w:jc w:val="both"/>
        <w:rPr>
          <w:rFonts w:ascii="Constantia" w:hAnsi="Constantia"/>
          <w:sz w:val="24"/>
          <w:szCs w:val="24"/>
          <w:lang w:val="el-GR"/>
        </w:rPr>
      </w:pPr>
      <w:r w:rsidRPr="008F60CC">
        <w:rPr>
          <w:rFonts w:ascii="Constantia" w:hAnsi="Constantia"/>
          <w:sz w:val="24"/>
          <w:szCs w:val="24"/>
          <w:lang w:val="el-GR"/>
        </w:rPr>
        <w:lastRenderedPageBreak/>
        <w:t>Ένας δεύτερος δείκτης σύγκρισης, αφορά στον υπολογισμό των δαπανών ως ποσοστό του ΑΕΠ κάθε χώρας (</w:t>
      </w:r>
      <w:r w:rsidRPr="008F60CC">
        <w:rPr>
          <w:rFonts w:ascii="Constantia" w:hAnsi="Constantia"/>
          <w:color w:val="1C6194" w:themeColor="accent2" w:themeShade="BF"/>
          <w:sz w:val="24"/>
          <w:szCs w:val="24"/>
        </w:rPr>
        <w:fldChar w:fldCharType="begin"/>
      </w:r>
      <w:r w:rsidRPr="008F60CC">
        <w:rPr>
          <w:rFonts w:ascii="Constantia" w:hAnsi="Constantia"/>
          <w:color w:val="1C6194" w:themeColor="accent2" w:themeShade="BF"/>
          <w:sz w:val="24"/>
          <w:szCs w:val="24"/>
          <w:lang w:val="el-GR"/>
        </w:rPr>
        <w:instrText xml:space="preserve"> </w:instrText>
      </w:r>
      <w:r w:rsidRPr="008F60CC">
        <w:rPr>
          <w:rFonts w:ascii="Constantia" w:hAnsi="Constantia"/>
          <w:color w:val="1C6194" w:themeColor="accent2" w:themeShade="BF"/>
          <w:sz w:val="24"/>
          <w:szCs w:val="24"/>
        </w:rPr>
        <w:instrText>REF</w:instrText>
      </w:r>
      <w:r w:rsidRPr="008F60CC">
        <w:rPr>
          <w:rFonts w:ascii="Constantia" w:hAnsi="Constantia"/>
          <w:color w:val="1C6194" w:themeColor="accent2" w:themeShade="BF"/>
          <w:sz w:val="24"/>
          <w:szCs w:val="24"/>
          <w:lang w:val="el-GR"/>
        </w:rPr>
        <w:instrText xml:space="preserve"> _</w:instrText>
      </w:r>
      <w:r w:rsidRPr="008F60CC">
        <w:rPr>
          <w:rFonts w:ascii="Constantia" w:hAnsi="Constantia"/>
          <w:color w:val="1C6194" w:themeColor="accent2" w:themeShade="BF"/>
          <w:sz w:val="24"/>
          <w:szCs w:val="24"/>
        </w:rPr>
        <w:instrText>Ref</w:instrText>
      </w:r>
      <w:r w:rsidRPr="008F60CC">
        <w:rPr>
          <w:rFonts w:ascii="Constantia" w:hAnsi="Constantia"/>
          <w:color w:val="1C6194" w:themeColor="accent2" w:themeShade="BF"/>
          <w:sz w:val="24"/>
          <w:szCs w:val="24"/>
          <w:lang w:val="el-GR"/>
        </w:rPr>
        <w:instrText>202282045 \</w:instrText>
      </w:r>
      <w:r w:rsidRPr="008F60CC">
        <w:rPr>
          <w:rFonts w:ascii="Constantia" w:hAnsi="Constantia"/>
          <w:color w:val="1C6194" w:themeColor="accent2" w:themeShade="BF"/>
          <w:sz w:val="24"/>
          <w:szCs w:val="24"/>
        </w:rPr>
        <w:instrText>h</w:instrText>
      </w:r>
      <w:r w:rsidRPr="008F60CC">
        <w:rPr>
          <w:rFonts w:ascii="Constantia" w:hAnsi="Constantia"/>
          <w:color w:val="1C6194" w:themeColor="accent2" w:themeShade="BF"/>
          <w:sz w:val="24"/>
          <w:szCs w:val="24"/>
          <w:lang w:val="el-GR"/>
        </w:rPr>
        <w:instrText xml:space="preserve"> </w:instrText>
      </w:r>
      <w:r w:rsidRPr="008F60CC">
        <w:rPr>
          <w:rFonts w:ascii="Constantia" w:hAnsi="Constantia"/>
          <w:color w:val="1C6194" w:themeColor="accent2" w:themeShade="BF"/>
          <w:sz w:val="24"/>
          <w:szCs w:val="24"/>
        </w:rPr>
        <w:instrText xml:space="preserve"> \* MERGEFORMAT </w:instrText>
      </w:r>
      <w:r w:rsidRPr="008F60CC">
        <w:rPr>
          <w:rFonts w:ascii="Constantia" w:hAnsi="Constantia"/>
          <w:color w:val="1C6194" w:themeColor="accent2" w:themeShade="BF"/>
          <w:sz w:val="24"/>
          <w:szCs w:val="24"/>
        </w:rPr>
      </w:r>
      <w:r w:rsidRPr="008F60CC">
        <w:rPr>
          <w:rFonts w:ascii="Constantia" w:hAnsi="Constantia"/>
          <w:color w:val="1C6194" w:themeColor="accent2" w:themeShade="BF"/>
          <w:sz w:val="24"/>
          <w:szCs w:val="24"/>
        </w:rPr>
        <w:fldChar w:fldCharType="separate"/>
      </w:r>
      <w:r w:rsidRPr="008F60CC">
        <w:rPr>
          <w:rFonts w:ascii="Constantia" w:hAnsi="Constantia" w:cstheme="majorHAnsi"/>
          <w:color w:val="1C6194" w:themeColor="accent2" w:themeShade="BF"/>
          <w:sz w:val="24"/>
          <w:szCs w:val="24"/>
          <w:lang w:val="el-GR"/>
        </w:rPr>
        <w:t>Γράφημα 3</w:t>
      </w:r>
      <w:r w:rsidRPr="008F60CC">
        <w:rPr>
          <w:rFonts w:ascii="Constantia" w:hAnsi="Constantia"/>
          <w:color w:val="1C6194" w:themeColor="accent2" w:themeShade="BF"/>
          <w:sz w:val="24"/>
          <w:szCs w:val="24"/>
        </w:rPr>
        <w:fldChar w:fldCharType="end"/>
      </w:r>
      <w:r w:rsidRPr="008F60CC">
        <w:rPr>
          <w:rFonts w:ascii="Constantia" w:hAnsi="Constantia"/>
          <w:sz w:val="24"/>
          <w:szCs w:val="24"/>
          <w:lang w:val="el-GR"/>
        </w:rPr>
        <w:t xml:space="preserve">). </w:t>
      </w:r>
      <w:bookmarkStart w:id="18" w:name="_Hlk201563537"/>
      <w:r w:rsidRPr="008F60CC">
        <w:rPr>
          <w:rFonts w:ascii="Constantia" w:hAnsi="Constantia"/>
          <w:sz w:val="24"/>
          <w:szCs w:val="24"/>
          <w:lang w:val="el-GR"/>
        </w:rPr>
        <w:t>Το 2022, οι συνολικές δαπάνες για παροχές κοινωνικές προστασίας αντιπροσωπεύουν το 24,1% του ελληνικού ΑΕΠ, ποσοστό που υπολείπεται σχεδόν κατά 4 μονάδες από τον ευρωπαϊκό μέσο όρο των 27 (ΕΕ-27: 27,9%).</w:t>
      </w:r>
    </w:p>
    <w:p w14:paraId="14280E45" w14:textId="77777777" w:rsidR="008F60CC" w:rsidRPr="008F60CC" w:rsidRDefault="008F60CC" w:rsidP="008F60CC">
      <w:pPr>
        <w:pStyle w:val="Caption"/>
        <w:spacing w:before="240" w:after="120"/>
        <w:ind w:left="284"/>
        <w:jc w:val="center"/>
        <w:rPr>
          <w:b/>
          <w:iCs w:val="0"/>
          <w:color w:val="1C6194" w:themeColor="accent2" w:themeShade="BF"/>
          <w:lang w:val="el-GR"/>
        </w:rPr>
      </w:pPr>
      <w:bookmarkStart w:id="19" w:name="_Ref202282045"/>
      <w:bookmarkStart w:id="20" w:name="_Toc201687251"/>
      <w:bookmarkStart w:id="21" w:name="_Toc222493357"/>
      <w:bookmarkEnd w:id="18"/>
      <w:r w:rsidRPr="008F60CC">
        <w:rPr>
          <w:rFonts w:asciiTheme="majorHAnsi" w:hAnsiTheme="majorHAnsi" w:cstheme="majorHAnsi"/>
          <w:b/>
          <w:bCs/>
          <w:i w:val="0"/>
          <w:iCs w:val="0"/>
          <w:color w:val="1C6194" w:themeColor="accent2" w:themeShade="BF"/>
          <w:sz w:val="24"/>
          <w:szCs w:val="24"/>
          <w:lang w:val="el-GR"/>
        </w:rPr>
        <w:t xml:space="preserve">Γράφημα </w:t>
      </w:r>
      <w:r w:rsidRPr="008F60CC">
        <w:rPr>
          <w:rFonts w:asciiTheme="majorHAnsi" w:hAnsiTheme="majorHAnsi" w:cstheme="majorHAnsi"/>
          <w:b/>
          <w:bCs/>
          <w:i w:val="0"/>
          <w:iCs w:val="0"/>
          <w:color w:val="1C6194" w:themeColor="accent2" w:themeShade="BF"/>
          <w:sz w:val="24"/>
          <w:szCs w:val="24"/>
          <w:lang w:val="el-GR"/>
        </w:rPr>
        <w:fldChar w:fldCharType="begin"/>
      </w:r>
      <w:r w:rsidRPr="008F60CC">
        <w:rPr>
          <w:rFonts w:asciiTheme="majorHAnsi" w:hAnsiTheme="majorHAnsi" w:cstheme="majorHAnsi"/>
          <w:b/>
          <w:bCs/>
          <w:i w:val="0"/>
          <w:iCs w:val="0"/>
          <w:color w:val="1C6194" w:themeColor="accent2" w:themeShade="BF"/>
          <w:sz w:val="24"/>
          <w:szCs w:val="24"/>
          <w:lang w:val="el-GR"/>
        </w:rPr>
        <w:instrText xml:space="preserve"> SEQ Γράφημα \* ARABIC </w:instrText>
      </w:r>
      <w:r w:rsidRPr="008F60CC">
        <w:rPr>
          <w:rFonts w:asciiTheme="majorHAnsi" w:hAnsiTheme="majorHAnsi" w:cstheme="majorHAnsi"/>
          <w:b/>
          <w:bCs/>
          <w:i w:val="0"/>
          <w:iCs w:val="0"/>
          <w:color w:val="1C6194" w:themeColor="accent2" w:themeShade="BF"/>
          <w:sz w:val="24"/>
          <w:szCs w:val="24"/>
          <w:lang w:val="el-GR"/>
        </w:rPr>
        <w:fldChar w:fldCharType="separate"/>
      </w:r>
      <w:r w:rsidRPr="008F60CC">
        <w:rPr>
          <w:rFonts w:asciiTheme="majorHAnsi" w:hAnsiTheme="majorHAnsi" w:cstheme="majorHAnsi"/>
          <w:b/>
          <w:bCs/>
          <w:i w:val="0"/>
          <w:iCs w:val="0"/>
          <w:color w:val="1C6194" w:themeColor="accent2" w:themeShade="BF"/>
          <w:sz w:val="24"/>
          <w:szCs w:val="24"/>
          <w:lang w:val="el-GR"/>
        </w:rPr>
        <w:t>3</w:t>
      </w:r>
      <w:r w:rsidRPr="008F60CC">
        <w:rPr>
          <w:rFonts w:asciiTheme="majorHAnsi" w:hAnsiTheme="majorHAnsi" w:cstheme="majorHAnsi"/>
          <w:b/>
          <w:bCs/>
          <w:i w:val="0"/>
          <w:iCs w:val="0"/>
          <w:color w:val="1C6194" w:themeColor="accent2" w:themeShade="BF"/>
          <w:sz w:val="24"/>
          <w:szCs w:val="24"/>
          <w:lang w:val="el-GR"/>
        </w:rPr>
        <w:fldChar w:fldCharType="end"/>
      </w:r>
      <w:bookmarkEnd w:id="19"/>
      <w:r w:rsidRPr="008F60CC">
        <w:rPr>
          <w:rFonts w:asciiTheme="majorHAnsi" w:hAnsiTheme="majorHAnsi" w:cstheme="majorHAnsi"/>
          <w:i w:val="0"/>
          <w:iCs w:val="0"/>
          <w:color w:val="1C6194" w:themeColor="accent2" w:themeShade="BF"/>
          <w:sz w:val="24"/>
          <w:szCs w:val="24"/>
          <w:lang w:val="el-GR"/>
        </w:rPr>
        <w:t xml:space="preserve">: Δαπάνες για παροχές κοινωνικής προστασίας </w:t>
      </w:r>
      <w:r w:rsidRPr="008F60CC">
        <w:rPr>
          <w:rFonts w:asciiTheme="majorHAnsi" w:hAnsiTheme="majorHAnsi" w:cstheme="majorHAnsi"/>
          <w:i w:val="0"/>
          <w:iCs w:val="0"/>
          <w:color w:val="1C6194" w:themeColor="accent2" w:themeShade="BF"/>
          <w:sz w:val="24"/>
          <w:szCs w:val="24"/>
          <w:lang w:val="el-GR"/>
        </w:rPr>
        <w:br/>
        <w:t>ως ποσοστό του ΑΕΠ (2022) στις χώρες της ΕΕ-27</w:t>
      </w:r>
      <w:bookmarkEnd w:id="20"/>
      <w:bookmarkEnd w:id="21"/>
    </w:p>
    <w:p w14:paraId="5FB81AB2" w14:textId="77777777" w:rsidR="008F60CC" w:rsidRDefault="008F60CC" w:rsidP="008F60CC">
      <w:pPr>
        <w:rPr>
          <w:b/>
          <w:iCs/>
        </w:rPr>
      </w:pPr>
      <w:r>
        <w:rPr>
          <w:noProof/>
          <w:lang w:val="el-GR" w:eastAsia="el-GR"/>
        </w:rPr>
        <w:drawing>
          <wp:inline distT="0" distB="0" distL="0" distR="0" wp14:anchorId="58C34F49" wp14:editId="57C59243">
            <wp:extent cx="5579745" cy="5967167"/>
            <wp:effectExtent l="0" t="0" r="1905" b="0"/>
            <wp:docPr id="951488127" name="Chart 1" descr="Γαλλία: 33,98&#10;Αυστρία: 30,45&#10;Φινλανδία: 30,08&#10;Γερμανία: 30,01&#10;Ιταλία: 29,75&#10;Βέλγιο: 28,55&#10;Δανία: 28,06&#10;ΕΕ - 27 (από το 2020): 27,85&#10;Σουηδία: 27,23&#10;Ολλανδία: 27,12&#10;Ισπανία: 25,87&#10;Πορτογαλία: 24,67&#10;Σλοβενία: 24,25&#10;Ελλάδα: 24,14&#10;Λουξεμβούργο: 22,18&#10;Πολωνία: 20,95&#10;Κροατία: 20,9&#10;Τσεχία: 19,94&#10;Κύπρος: 19,81&#10;Λετονία: 18,86&#10;Βουλγαρία: 18,64&#10;Σλοβακία: 18,18&#10;Ουγγαρία: 16,67&#10;Λιθουανία: 16,59&#10;Ρουμανία: 16,5&#10;Εσθονία: 15,74&#10;Μάλτα: 14,41&#10;Ιρλανδία: 11,37">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4E51042" w14:textId="77777777" w:rsidR="008F60CC" w:rsidRPr="008F60CC" w:rsidRDefault="008F60CC" w:rsidP="008F60CC">
      <w:pPr>
        <w:pStyle w:val="Caption"/>
        <w:spacing w:after="240"/>
        <w:jc w:val="center"/>
        <w:rPr>
          <w:rFonts w:asciiTheme="majorHAnsi" w:hAnsiTheme="majorHAnsi" w:cstheme="majorHAnsi"/>
          <w:color w:val="1C6194" w:themeColor="accent2" w:themeShade="BF"/>
        </w:rPr>
      </w:pPr>
      <w:r w:rsidRPr="008F60CC">
        <w:rPr>
          <w:rFonts w:asciiTheme="majorHAnsi" w:hAnsiTheme="majorHAnsi" w:cstheme="majorHAnsi"/>
          <w:b/>
          <w:bCs/>
          <w:color w:val="1C6194" w:themeColor="accent2" w:themeShade="BF"/>
          <w:lang w:val="el-GR"/>
        </w:rPr>
        <w:t>Πηγή</w:t>
      </w:r>
      <w:r w:rsidRPr="008F60CC">
        <w:rPr>
          <w:rFonts w:asciiTheme="majorHAnsi" w:hAnsiTheme="majorHAnsi" w:cstheme="majorHAnsi"/>
          <w:color w:val="1C6194" w:themeColor="accent2" w:themeShade="BF"/>
        </w:rPr>
        <w:t xml:space="preserve">: Eurostat, </w:t>
      </w:r>
      <w:r w:rsidRPr="008F60CC">
        <w:rPr>
          <w:rFonts w:asciiTheme="majorHAnsi" w:hAnsiTheme="majorHAnsi" w:cstheme="majorHAnsi"/>
          <w:color w:val="1C6194" w:themeColor="accent2" w:themeShade="BF"/>
          <w:lang w:val="en-GB"/>
        </w:rPr>
        <w:t>European System of Integrated Social Protection Statistics</w:t>
      </w:r>
      <w:r w:rsidRPr="008F60CC">
        <w:rPr>
          <w:rFonts w:asciiTheme="majorHAnsi" w:hAnsiTheme="majorHAnsi" w:cstheme="majorHAnsi"/>
          <w:color w:val="1C6194" w:themeColor="accent2" w:themeShade="BF"/>
        </w:rPr>
        <w:t xml:space="preserve"> -ESSPROS (2022) </w:t>
      </w:r>
      <w:r w:rsidRPr="008F60CC">
        <w:rPr>
          <w:rFonts w:asciiTheme="majorHAnsi" w:hAnsiTheme="majorHAnsi" w:cstheme="majorHAnsi"/>
          <w:color w:val="1C6194" w:themeColor="accent2" w:themeShade="BF"/>
        </w:rPr>
        <w:br/>
      </w:r>
      <w:r w:rsidRPr="008F60CC">
        <w:rPr>
          <w:rFonts w:asciiTheme="majorHAnsi" w:hAnsiTheme="majorHAnsi" w:cstheme="majorHAnsi"/>
          <w:b/>
          <w:bCs/>
          <w:color w:val="1C6194" w:themeColor="accent2" w:themeShade="BF"/>
          <w:lang w:val="el-GR"/>
        </w:rPr>
        <w:t>Επεξεργασία</w:t>
      </w:r>
      <w:r w:rsidRPr="008F60CC">
        <w:rPr>
          <w:rFonts w:asciiTheme="majorHAnsi" w:hAnsiTheme="majorHAnsi" w:cstheme="majorHAnsi"/>
          <w:color w:val="1C6194" w:themeColor="accent2" w:themeShade="BF"/>
        </w:rPr>
        <w:t xml:space="preserve">: </w:t>
      </w:r>
      <w:r w:rsidRPr="008F60CC">
        <w:rPr>
          <w:rFonts w:asciiTheme="majorHAnsi" w:hAnsiTheme="majorHAnsi" w:cstheme="majorHAnsi"/>
          <w:color w:val="1C6194" w:themeColor="accent2" w:themeShade="BF"/>
          <w:lang w:val="el-GR"/>
        </w:rPr>
        <w:t>Παρατηρητήριο</w:t>
      </w:r>
      <w:r w:rsidRPr="008F60CC">
        <w:rPr>
          <w:rFonts w:asciiTheme="majorHAnsi" w:hAnsiTheme="majorHAnsi" w:cstheme="majorHAnsi"/>
          <w:color w:val="1C6194" w:themeColor="accent2" w:themeShade="BF"/>
        </w:rPr>
        <w:t xml:space="preserve"> </w:t>
      </w:r>
      <w:r w:rsidRPr="008F60CC">
        <w:rPr>
          <w:rFonts w:asciiTheme="majorHAnsi" w:hAnsiTheme="majorHAnsi" w:cstheme="majorHAnsi"/>
          <w:color w:val="1C6194" w:themeColor="accent2" w:themeShade="BF"/>
          <w:lang w:val="el-GR"/>
        </w:rPr>
        <w:t>Θεμάτων</w:t>
      </w:r>
      <w:r w:rsidRPr="008F60CC">
        <w:rPr>
          <w:rFonts w:asciiTheme="majorHAnsi" w:hAnsiTheme="majorHAnsi" w:cstheme="majorHAnsi"/>
          <w:color w:val="1C6194" w:themeColor="accent2" w:themeShade="BF"/>
        </w:rPr>
        <w:t xml:space="preserve"> </w:t>
      </w:r>
      <w:r w:rsidRPr="008F60CC">
        <w:rPr>
          <w:rFonts w:asciiTheme="majorHAnsi" w:hAnsiTheme="majorHAnsi" w:cstheme="majorHAnsi"/>
          <w:color w:val="1C6194" w:themeColor="accent2" w:themeShade="BF"/>
          <w:lang w:val="el-GR"/>
        </w:rPr>
        <w:t>Αναπηρίας</w:t>
      </w:r>
      <w:r w:rsidRPr="008F60CC">
        <w:rPr>
          <w:rFonts w:asciiTheme="majorHAnsi" w:hAnsiTheme="majorHAnsi" w:cstheme="majorHAnsi"/>
          <w:color w:val="1C6194" w:themeColor="accent2" w:themeShade="BF"/>
        </w:rPr>
        <w:t xml:space="preserve">- </w:t>
      </w:r>
      <w:r w:rsidRPr="008F60CC">
        <w:rPr>
          <w:rFonts w:asciiTheme="majorHAnsi" w:hAnsiTheme="majorHAnsi" w:cstheme="majorHAnsi"/>
          <w:color w:val="1C6194" w:themeColor="accent2" w:themeShade="BF"/>
          <w:lang w:val="el-GR"/>
        </w:rPr>
        <w:t>Ε</w:t>
      </w:r>
      <w:r w:rsidRPr="008F60CC">
        <w:rPr>
          <w:rFonts w:asciiTheme="majorHAnsi" w:hAnsiTheme="majorHAnsi" w:cstheme="majorHAnsi"/>
          <w:color w:val="1C6194" w:themeColor="accent2" w:themeShade="BF"/>
        </w:rPr>
        <w:t>.</w:t>
      </w:r>
      <w:r w:rsidRPr="008F60CC">
        <w:rPr>
          <w:rFonts w:asciiTheme="majorHAnsi" w:hAnsiTheme="majorHAnsi" w:cstheme="majorHAnsi"/>
          <w:color w:val="1C6194" w:themeColor="accent2" w:themeShade="BF"/>
          <w:lang w:val="el-GR"/>
        </w:rPr>
        <w:t>Σ</w:t>
      </w:r>
      <w:r w:rsidRPr="008F60CC">
        <w:rPr>
          <w:rFonts w:asciiTheme="majorHAnsi" w:hAnsiTheme="majorHAnsi" w:cstheme="majorHAnsi"/>
          <w:color w:val="1C6194" w:themeColor="accent2" w:themeShade="BF"/>
        </w:rPr>
        <w:t>.</w:t>
      </w:r>
      <w:r w:rsidRPr="008F60CC">
        <w:rPr>
          <w:rFonts w:asciiTheme="majorHAnsi" w:hAnsiTheme="majorHAnsi" w:cstheme="majorHAnsi"/>
          <w:color w:val="1C6194" w:themeColor="accent2" w:themeShade="BF"/>
          <w:lang w:val="el-GR"/>
        </w:rPr>
        <w:t>Α</w:t>
      </w:r>
      <w:r w:rsidRPr="008F60CC">
        <w:rPr>
          <w:rFonts w:asciiTheme="majorHAnsi" w:hAnsiTheme="majorHAnsi" w:cstheme="majorHAnsi"/>
          <w:color w:val="1C6194" w:themeColor="accent2" w:themeShade="BF"/>
        </w:rPr>
        <w:t>.</w:t>
      </w:r>
      <w:proofErr w:type="spellStart"/>
      <w:r w:rsidRPr="008F60CC">
        <w:rPr>
          <w:rFonts w:asciiTheme="majorHAnsi" w:hAnsiTheme="majorHAnsi" w:cstheme="majorHAnsi"/>
          <w:color w:val="1C6194" w:themeColor="accent2" w:themeShade="BF"/>
          <w:lang w:val="el-GR"/>
        </w:rPr>
        <w:t>μεΑ</w:t>
      </w:r>
      <w:proofErr w:type="spellEnd"/>
      <w:r w:rsidRPr="008F60CC">
        <w:rPr>
          <w:rFonts w:asciiTheme="majorHAnsi" w:hAnsiTheme="majorHAnsi" w:cstheme="majorHAnsi"/>
          <w:color w:val="1C6194" w:themeColor="accent2" w:themeShade="BF"/>
        </w:rPr>
        <w:t>.</w:t>
      </w:r>
    </w:p>
    <w:p w14:paraId="52AD758A" w14:textId="77777777" w:rsidR="008F60CC" w:rsidRPr="008F60CC" w:rsidRDefault="008F60CC" w:rsidP="008F60CC">
      <w:pPr>
        <w:spacing w:after="0" w:line="240" w:lineRule="auto"/>
      </w:pPr>
      <w:r w:rsidRPr="008F60CC">
        <w:br w:type="page"/>
      </w:r>
    </w:p>
    <w:p w14:paraId="6383067F" w14:textId="77777777" w:rsidR="008F60CC" w:rsidRDefault="008F60CC" w:rsidP="008F60CC">
      <w:pPr>
        <w:pStyle w:val="Heading2"/>
        <w:tabs>
          <w:tab w:val="left" w:pos="360"/>
        </w:tabs>
        <w:spacing w:before="360" w:after="240"/>
        <w:ind w:left="426" w:right="-142" w:hanging="426"/>
      </w:pPr>
      <w:bookmarkStart w:id="22" w:name="_Toc29349"/>
      <w:bookmarkStart w:id="23" w:name="_Toc222493318"/>
      <w:bookmarkEnd w:id="9"/>
      <w:r>
        <w:lastRenderedPageBreak/>
        <w:t>Αποτελεσματικότητα των κοινωνικών παροχών στη μείωση της φτώχειας</w:t>
      </w:r>
      <w:bookmarkEnd w:id="22"/>
      <w:bookmarkEnd w:id="23"/>
    </w:p>
    <w:p w14:paraId="349D2E66" w14:textId="77777777" w:rsidR="008F60CC" w:rsidRPr="008F60CC" w:rsidRDefault="008F60CC" w:rsidP="008F60CC">
      <w:pPr>
        <w:jc w:val="both"/>
        <w:rPr>
          <w:rFonts w:ascii="Constantia" w:hAnsi="Constantia"/>
          <w:sz w:val="24"/>
          <w:szCs w:val="24"/>
          <w:lang w:val="el-GR" w:eastAsia="de-DE"/>
        </w:rPr>
      </w:pPr>
      <w:r w:rsidRPr="008F60CC">
        <w:rPr>
          <w:rFonts w:ascii="Constantia" w:hAnsi="Constantia"/>
          <w:sz w:val="24"/>
          <w:szCs w:val="24"/>
          <w:lang w:val="el-GR" w:eastAsia="de-DE"/>
        </w:rPr>
        <w:t>Ο δείκτης της Eurostat «Επίδραση των κοινωνικών μεταβιβάσεων στη μείωση της φτώχειας», μετρά το πόσο συμβάλλουν οι κοινωνικές παροχές στη μείωση της φτώχειας, χωρίς να λαμβάνονται υπόψη οι συντάξεις. Ο δείκτης συγκρίνει το ποσοστό φτώχειας ή/και κοινωνικού αποκλεισμού πριν από τις κοινωνικές μεταβιβάσεις (δηλαδή, με εισόδημα μόνο από εργασία ή άλλες πηγές) και μετά από τις κοινωνικές μεταβιβάσεις (δηλαδή, όταν προστεθούν τα κοινωνικά επιδόματα, εξαιρουμένων των συντάξεων).</w:t>
      </w:r>
    </w:p>
    <w:p w14:paraId="0D09C6FD" w14:textId="77777777" w:rsidR="008F60CC" w:rsidRPr="008F60CC" w:rsidRDefault="008F60CC" w:rsidP="008F60CC">
      <w:pPr>
        <w:jc w:val="both"/>
        <w:rPr>
          <w:rFonts w:ascii="Constantia" w:hAnsi="Constantia"/>
          <w:sz w:val="24"/>
          <w:szCs w:val="24"/>
          <w:lang w:val="el-GR" w:eastAsia="de-DE"/>
        </w:rPr>
      </w:pPr>
      <w:r w:rsidRPr="008F60CC">
        <w:rPr>
          <w:rFonts w:ascii="Constantia" w:hAnsi="Constantia"/>
          <w:sz w:val="24"/>
          <w:szCs w:val="24"/>
          <w:lang w:val="el-GR" w:eastAsia="de-DE"/>
        </w:rPr>
        <w:t>Το 2024, η Ελλάδα καταγράφει τη χαμηλότερη τιμή στον δείκτη που υπολογίστηκε σε 16,6, όταν σε επίπεδο Ε.Ε. καταγράφεται τιμή υπερδιπλάσια, που ανέρχεται σε 34,4.</w:t>
      </w:r>
    </w:p>
    <w:p w14:paraId="4B2399C6" w14:textId="77777777" w:rsidR="008F60CC" w:rsidRPr="008F60CC" w:rsidRDefault="008F60CC" w:rsidP="008F60CC">
      <w:pPr>
        <w:pStyle w:val="Caption"/>
        <w:spacing w:before="240" w:after="0"/>
        <w:ind w:left="284"/>
        <w:jc w:val="center"/>
        <w:rPr>
          <w:rFonts w:asciiTheme="majorHAnsi" w:hAnsiTheme="majorHAnsi" w:cstheme="majorHAnsi"/>
          <w:i w:val="0"/>
          <w:iCs w:val="0"/>
          <w:color w:val="1C6194" w:themeColor="accent2" w:themeShade="BF"/>
          <w:sz w:val="24"/>
          <w:szCs w:val="24"/>
          <w:lang w:val="el-GR"/>
        </w:rPr>
      </w:pPr>
      <w:bookmarkStart w:id="24" w:name="_Toc201687252"/>
      <w:bookmarkStart w:id="25" w:name="_Toc222493358"/>
      <w:r w:rsidRPr="008F60CC">
        <w:rPr>
          <w:rFonts w:asciiTheme="majorHAnsi" w:hAnsiTheme="majorHAnsi" w:cstheme="majorHAnsi"/>
          <w:b/>
          <w:bCs/>
          <w:i w:val="0"/>
          <w:iCs w:val="0"/>
          <w:color w:val="1C6194" w:themeColor="accent2" w:themeShade="BF"/>
          <w:sz w:val="24"/>
          <w:szCs w:val="24"/>
          <w:lang w:val="el-GR"/>
        </w:rPr>
        <w:t xml:space="preserve">Γράφημα </w:t>
      </w:r>
      <w:r w:rsidRPr="008F60CC">
        <w:rPr>
          <w:rFonts w:asciiTheme="majorHAnsi" w:hAnsiTheme="majorHAnsi" w:cstheme="majorHAnsi"/>
          <w:b/>
          <w:bCs/>
          <w:i w:val="0"/>
          <w:iCs w:val="0"/>
          <w:color w:val="1C6194" w:themeColor="accent2" w:themeShade="BF"/>
          <w:sz w:val="24"/>
          <w:szCs w:val="24"/>
          <w:lang w:val="el-GR"/>
        </w:rPr>
        <w:fldChar w:fldCharType="begin"/>
      </w:r>
      <w:r w:rsidRPr="008F60CC">
        <w:rPr>
          <w:rFonts w:asciiTheme="majorHAnsi" w:hAnsiTheme="majorHAnsi" w:cstheme="majorHAnsi"/>
          <w:b/>
          <w:bCs/>
          <w:i w:val="0"/>
          <w:iCs w:val="0"/>
          <w:color w:val="1C6194" w:themeColor="accent2" w:themeShade="BF"/>
          <w:sz w:val="24"/>
          <w:szCs w:val="24"/>
          <w:lang w:val="el-GR"/>
        </w:rPr>
        <w:instrText xml:space="preserve"> SEQ Γράφημα \* ARABIC </w:instrText>
      </w:r>
      <w:r w:rsidRPr="008F60CC">
        <w:rPr>
          <w:rFonts w:asciiTheme="majorHAnsi" w:hAnsiTheme="majorHAnsi" w:cstheme="majorHAnsi"/>
          <w:b/>
          <w:bCs/>
          <w:i w:val="0"/>
          <w:iCs w:val="0"/>
          <w:color w:val="1C6194" w:themeColor="accent2" w:themeShade="BF"/>
          <w:sz w:val="24"/>
          <w:szCs w:val="24"/>
          <w:lang w:val="el-GR"/>
        </w:rPr>
        <w:fldChar w:fldCharType="separate"/>
      </w:r>
      <w:r w:rsidRPr="008F60CC">
        <w:rPr>
          <w:rFonts w:asciiTheme="majorHAnsi" w:hAnsiTheme="majorHAnsi" w:cstheme="majorHAnsi"/>
          <w:b/>
          <w:bCs/>
          <w:i w:val="0"/>
          <w:iCs w:val="0"/>
          <w:color w:val="1C6194" w:themeColor="accent2" w:themeShade="BF"/>
          <w:sz w:val="24"/>
          <w:szCs w:val="24"/>
          <w:lang w:val="el-GR"/>
        </w:rPr>
        <w:t>4</w:t>
      </w:r>
      <w:r w:rsidRPr="008F60CC">
        <w:rPr>
          <w:rFonts w:asciiTheme="majorHAnsi" w:hAnsiTheme="majorHAnsi" w:cstheme="majorHAnsi"/>
          <w:b/>
          <w:bCs/>
          <w:i w:val="0"/>
          <w:iCs w:val="0"/>
          <w:color w:val="1C6194" w:themeColor="accent2" w:themeShade="BF"/>
          <w:sz w:val="24"/>
          <w:szCs w:val="24"/>
          <w:lang w:val="el-GR"/>
        </w:rPr>
        <w:fldChar w:fldCharType="end"/>
      </w:r>
      <w:r w:rsidRPr="008F60CC">
        <w:rPr>
          <w:rFonts w:asciiTheme="majorHAnsi" w:hAnsiTheme="majorHAnsi" w:cstheme="majorHAnsi"/>
          <w:i w:val="0"/>
          <w:iCs w:val="0"/>
          <w:color w:val="1C6194" w:themeColor="accent2" w:themeShade="BF"/>
          <w:sz w:val="24"/>
          <w:szCs w:val="24"/>
          <w:lang w:val="el-GR"/>
        </w:rPr>
        <w:t xml:space="preserve">: Δείκτης Επίδρασης των κοινωνικών μεταβιβάσεων </w:t>
      </w:r>
      <w:r w:rsidRPr="008F60CC">
        <w:rPr>
          <w:rFonts w:asciiTheme="majorHAnsi" w:hAnsiTheme="majorHAnsi" w:cstheme="majorHAnsi"/>
          <w:i w:val="0"/>
          <w:iCs w:val="0"/>
          <w:color w:val="1C6194" w:themeColor="accent2" w:themeShade="BF"/>
          <w:sz w:val="24"/>
          <w:szCs w:val="24"/>
          <w:lang w:val="el-GR"/>
        </w:rPr>
        <w:br/>
        <w:t>(εξαιρουμένων των συντάξεων) στη μείωση της φτώχειας (2024)</w:t>
      </w:r>
      <w:bookmarkEnd w:id="24"/>
      <w:bookmarkEnd w:id="25"/>
    </w:p>
    <w:p w14:paraId="2FCF0DCF" w14:textId="77777777" w:rsidR="008F60CC" w:rsidRDefault="008F60CC" w:rsidP="008F60CC">
      <w:r>
        <w:rPr>
          <w:noProof/>
          <w:lang w:val="el-GR" w:eastAsia="el-GR"/>
        </w:rPr>
        <w:drawing>
          <wp:inline distT="0" distB="0" distL="0" distR="0" wp14:anchorId="51890003" wp14:editId="0FD24D9B">
            <wp:extent cx="5579745" cy="5206365"/>
            <wp:effectExtent l="0" t="0" r="1905" b="0"/>
            <wp:docPr id="1566264068" name="Chart 1" descr="Ελλάδα: 16,6&#10;Ρουμανία: 18,8&#10;Λετονία: 21,45&#10;Κροατία: 21,62&#10;Πορτογαλία: 22,43&#10;Ισπανία: 23,94&#10;Λιθουανία: 25,86&#10;Μάλτα: 25,99&#10;Λουξεμβούργο: 27,02&#10;Βουλγαρία: 27,67&#10;Κύπρος: 30,48&#10;Ιταλία: 31,27&#10;Εσθονία: 31,53&#10;ΕΕ-27: 34,41&#10;Ουγγαρία: 34,96&#10;Γερμανία: 35,68&#10;Σλοβακία: 36,68&#10;Σλοβενία: 37,74&#10;Γαλλία: 38,85&#10;Σουηδία: 40,56&#10;Τσεχία: 40,63&#10;Αυστρία: 40,66&#10;Ολλανδία: 40,98&#10;Πολωνία: 41,53&#10;Φινλανδία: 46,38&#10;Δανία: 50,43&#10;Βέλγιο: 52,67&#10;Ιρλανδία: 52,87">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5517F9D" w14:textId="77777777" w:rsidR="008F60CC" w:rsidRPr="008F60CC" w:rsidRDefault="008F60CC" w:rsidP="008F60CC">
      <w:pPr>
        <w:pStyle w:val="Caption"/>
        <w:spacing w:after="240"/>
        <w:jc w:val="center"/>
        <w:rPr>
          <w:rFonts w:asciiTheme="majorHAnsi" w:hAnsiTheme="majorHAnsi" w:cstheme="majorHAnsi"/>
          <w:color w:val="1C6194" w:themeColor="accent2" w:themeShade="BF"/>
          <w:lang w:val="el-GR"/>
        </w:rPr>
      </w:pPr>
      <w:r w:rsidRPr="008F60CC">
        <w:rPr>
          <w:rFonts w:asciiTheme="majorHAnsi" w:hAnsiTheme="majorHAnsi" w:cstheme="majorHAnsi"/>
          <w:b/>
          <w:bCs/>
          <w:color w:val="1C6194" w:themeColor="accent2" w:themeShade="BF"/>
          <w:lang w:val="el-GR"/>
        </w:rPr>
        <w:t>Πηγή</w:t>
      </w:r>
      <w:r w:rsidRPr="008F60CC">
        <w:rPr>
          <w:rFonts w:asciiTheme="majorHAnsi" w:hAnsiTheme="majorHAnsi" w:cstheme="majorHAnsi"/>
          <w:color w:val="1C6194" w:themeColor="accent2" w:themeShade="BF"/>
          <w:lang w:val="el-GR"/>
        </w:rPr>
        <w:t xml:space="preserve"> : Eurostat (2024) / </w:t>
      </w:r>
      <w:r w:rsidRPr="008F60CC">
        <w:rPr>
          <w:rFonts w:asciiTheme="majorHAnsi" w:hAnsiTheme="majorHAnsi" w:cstheme="majorHAnsi"/>
          <w:b/>
          <w:bCs/>
          <w:color w:val="1C6194" w:themeColor="accent2" w:themeShade="BF"/>
          <w:lang w:val="el-GR"/>
        </w:rPr>
        <w:t>Επεξεργασία</w:t>
      </w:r>
      <w:r w:rsidRPr="008F60CC">
        <w:rPr>
          <w:rFonts w:asciiTheme="majorHAnsi" w:hAnsiTheme="majorHAnsi" w:cstheme="majorHAnsi"/>
          <w:color w:val="1C6194" w:themeColor="accent2" w:themeShade="BF"/>
          <w:lang w:val="el-GR"/>
        </w:rPr>
        <w:t>: Παρατηρητήριο Θεμάτων Αναπηρίας-Ε.Σ.Α.μεΑ.</w:t>
      </w:r>
    </w:p>
    <w:p w14:paraId="12997378" w14:textId="77777777" w:rsidR="008F60CC" w:rsidRDefault="008F60CC" w:rsidP="008F60CC">
      <w:pPr>
        <w:pStyle w:val="Heading2"/>
        <w:tabs>
          <w:tab w:val="left" w:pos="360"/>
        </w:tabs>
        <w:spacing w:before="360" w:after="240"/>
        <w:ind w:left="426" w:right="-142" w:hanging="426"/>
      </w:pPr>
      <w:bookmarkStart w:id="26" w:name="_Toc30464"/>
      <w:bookmarkStart w:id="27" w:name="_Toc222493319"/>
      <w:r>
        <w:lastRenderedPageBreak/>
        <w:t>Κατανομή παροχών κοινωνικής προστασίας ανά λειτουργία</w:t>
      </w:r>
      <w:bookmarkEnd w:id="26"/>
      <w:bookmarkEnd w:id="27"/>
    </w:p>
    <w:p w14:paraId="23EF765F" w14:textId="779F77A1" w:rsidR="008F60CC" w:rsidRPr="008F60CC" w:rsidRDefault="008F60CC" w:rsidP="008F60CC">
      <w:pPr>
        <w:jc w:val="both"/>
        <w:rPr>
          <w:rFonts w:ascii="Constantia" w:hAnsi="Constantia"/>
          <w:sz w:val="24"/>
          <w:szCs w:val="24"/>
          <w:lang w:val="el-GR"/>
        </w:rPr>
      </w:pPr>
      <w:r w:rsidRPr="008F60CC">
        <w:rPr>
          <w:rFonts w:ascii="Constantia" w:hAnsi="Constantia"/>
          <w:sz w:val="24"/>
          <w:szCs w:val="24"/>
          <w:lang w:val="el-GR"/>
        </w:rPr>
        <w:t>Οι (ακαθάριστες) παροχές κοινωνικής προστασίας ανήλθαν το 2022 σε 49.614 εκατ. Ευρώ. Στην Ελλάδα, το 51,8% του συνόλου των παροχών αφορά στην προστασία του γήρατος (δηλαδή σε συντάξεις γήρατος), ποσοστό το οποίο είναι το υψηλότερο μεταξύ των χωρών της Ευρώπης, όντας 11 μονάδες πάνω από το μέσο όρο της Ε.Ε. (ΕΕ-27: 40,65%).</w:t>
      </w:r>
    </w:p>
    <w:p w14:paraId="349CE1B2" w14:textId="77777777" w:rsidR="008F60CC" w:rsidRPr="008F60CC" w:rsidRDefault="008F60CC" w:rsidP="008F60CC">
      <w:pPr>
        <w:jc w:val="both"/>
        <w:rPr>
          <w:rFonts w:ascii="Constantia" w:hAnsi="Constantia"/>
          <w:sz w:val="24"/>
          <w:szCs w:val="24"/>
          <w:lang w:val="el-GR"/>
        </w:rPr>
      </w:pPr>
      <w:r w:rsidRPr="008F60CC">
        <w:rPr>
          <w:rFonts w:ascii="Constantia" w:hAnsi="Constantia"/>
          <w:sz w:val="24"/>
          <w:szCs w:val="24"/>
          <w:lang w:val="el-GR"/>
        </w:rPr>
        <w:t>Το 22,9% των δαπανών για παροχές κοινωνικής προστασίας δαπανήθηκε για την προστασία της ασθένειας, το 9,9% για την προστασία της χηρείας και το 5,6% αφορά σε κοινωνικές παροχές για την οικογένεια.</w:t>
      </w:r>
    </w:p>
    <w:p w14:paraId="018B3293" w14:textId="77777777" w:rsidR="008F60CC" w:rsidRPr="008F60CC" w:rsidRDefault="008F60CC" w:rsidP="008F60CC">
      <w:pPr>
        <w:jc w:val="both"/>
        <w:rPr>
          <w:rFonts w:ascii="Constantia" w:hAnsi="Constantia"/>
          <w:sz w:val="24"/>
          <w:szCs w:val="24"/>
          <w:lang w:val="el-GR"/>
        </w:rPr>
      </w:pPr>
      <w:r w:rsidRPr="008F60CC">
        <w:rPr>
          <w:rFonts w:ascii="Constantia" w:hAnsi="Constantia"/>
          <w:sz w:val="24"/>
          <w:szCs w:val="24"/>
          <w:lang w:val="el-GR"/>
        </w:rPr>
        <w:t>Οι δαπάνες για κοινωνικές παροχές για την αναπηρία ανέρχονται σε 1.901 εκατ. Ευρώ, καταλαμβάνοντας μόλις το 3,8% των δαπανών κοινωνικής προστασίας.</w:t>
      </w:r>
    </w:p>
    <w:p w14:paraId="541FDAC3" w14:textId="77777777" w:rsidR="008F60CC" w:rsidRPr="008F60CC" w:rsidRDefault="008F60CC" w:rsidP="008F60CC">
      <w:pPr>
        <w:pStyle w:val="Caption"/>
        <w:spacing w:before="360" w:after="120"/>
        <w:ind w:right="-2"/>
        <w:jc w:val="center"/>
        <w:rPr>
          <w:rFonts w:asciiTheme="majorHAnsi" w:hAnsiTheme="majorHAnsi" w:cstheme="majorHAnsi"/>
          <w:i w:val="0"/>
          <w:iCs w:val="0"/>
          <w:color w:val="1C6194" w:themeColor="accent2" w:themeShade="BF"/>
          <w:sz w:val="24"/>
          <w:szCs w:val="24"/>
          <w:lang w:val="el-GR"/>
        </w:rPr>
      </w:pPr>
      <w:bookmarkStart w:id="28" w:name="_Toc222493414"/>
      <w:bookmarkStart w:id="29" w:name="_Hlk165372181"/>
      <w:r w:rsidRPr="008F60CC">
        <w:rPr>
          <w:rFonts w:asciiTheme="majorHAnsi" w:hAnsiTheme="majorHAnsi" w:cstheme="majorHAnsi"/>
          <w:b/>
          <w:bCs/>
          <w:i w:val="0"/>
          <w:iCs w:val="0"/>
          <w:color w:val="1C6194" w:themeColor="accent2" w:themeShade="BF"/>
          <w:sz w:val="24"/>
          <w:szCs w:val="24"/>
          <w:lang w:val="el-GR"/>
        </w:rPr>
        <w:t xml:space="preserve">Πίνακας </w:t>
      </w:r>
      <w:r w:rsidRPr="008F60CC">
        <w:rPr>
          <w:rFonts w:asciiTheme="majorHAnsi" w:hAnsiTheme="majorHAnsi" w:cstheme="majorHAnsi"/>
          <w:b/>
          <w:bCs/>
          <w:i w:val="0"/>
          <w:iCs w:val="0"/>
          <w:color w:val="1C6194" w:themeColor="accent2" w:themeShade="BF"/>
          <w:sz w:val="24"/>
          <w:szCs w:val="24"/>
          <w:lang w:val="el-GR"/>
        </w:rPr>
        <w:fldChar w:fldCharType="begin"/>
      </w:r>
      <w:r w:rsidRPr="008F60CC">
        <w:rPr>
          <w:rFonts w:asciiTheme="majorHAnsi" w:hAnsiTheme="majorHAnsi" w:cstheme="majorHAnsi"/>
          <w:b/>
          <w:bCs/>
          <w:i w:val="0"/>
          <w:iCs w:val="0"/>
          <w:color w:val="1C6194" w:themeColor="accent2" w:themeShade="BF"/>
          <w:sz w:val="24"/>
          <w:szCs w:val="24"/>
          <w:lang w:val="el-GR"/>
        </w:rPr>
        <w:instrText xml:space="preserve"> SEQ Πίνακας \* ARABIC </w:instrText>
      </w:r>
      <w:r w:rsidRPr="008F60CC">
        <w:rPr>
          <w:rFonts w:asciiTheme="majorHAnsi" w:hAnsiTheme="majorHAnsi" w:cstheme="majorHAnsi"/>
          <w:b/>
          <w:bCs/>
          <w:i w:val="0"/>
          <w:iCs w:val="0"/>
          <w:color w:val="1C6194" w:themeColor="accent2" w:themeShade="BF"/>
          <w:sz w:val="24"/>
          <w:szCs w:val="24"/>
          <w:lang w:val="el-GR"/>
        </w:rPr>
        <w:fldChar w:fldCharType="separate"/>
      </w:r>
      <w:r w:rsidRPr="008F60CC">
        <w:rPr>
          <w:rFonts w:asciiTheme="majorHAnsi" w:hAnsiTheme="majorHAnsi" w:cstheme="majorHAnsi"/>
          <w:b/>
          <w:bCs/>
          <w:i w:val="0"/>
          <w:iCs w:val="0"/>
          <w:color w:val="1C6194" w:themeColor="accent2" w:themeShade="BF"/>
          <w:sz w:val="24"/>
          <w:szCs w:val="24"/>
          <w:lang w:val="el-GR"/>
        </w:rPr>
        <w:t>1</w:t>
      </w:r>
      <w:r w:rsidRPr="008F60CC">
        <w:rPr>
          <w:rFonts w:asciiTheme="majorHAnsi" w:hAnsiTheme="majorHAnsi" w:cstheme="majorHAnsi"/>
          <w:b/>
          <w:bCs/>
          <w:i w:val="0"/>
          <w:iCs w:val="0"/>
          <w:color w:val="1C6194" w:themeColor="accent2" w:themeShade="BF"/>
          <w:sz w:val="24"/>
          <w:szCs w:val="24"/>
          <w:lang w:val="el-GR"/>
        </w:rPr>
        <w:fldChar w:fldCharType="end"/>
      </w:r>
      <w:r w:rsidRPr="008F60CC">
        <w:rPr>
          <w:rFonts w:asciiTheme="majorHAnsi" w:hAnsiTheme="majorHAnsi" w:cstheme="majorHAnsi"/>
          <w:i w:val="0"/>
          <w:iCs w:val="0"/>
          <w:color w:val="1C6194" w:themeColor="accent2" w:themeShade="BF"/>
          <w:sz w:val="24"/>
          <w:szCs w:val="24"/>
          <w:lang w:val="el-GR"/>
        </w:rPr>
        <w:t xml:space="preserve">: ΑΝΑΛΥΤΙΚΕΣ ΠΑΡΟΧΕΣ ΚΟΙΝΩΝΙΚΗΣ ΠΡΟΣΤΑΣΙΑΣ ΜΕ ΤΟ ΣΥΣΤΗΜΑ </w:t>
      </w:r>
      <w:r w:rsidRPr="008F60CC">
        <w:rPr>
          <w:rFonts w:asciiTheme="majorHAnsi" w:hAnsiTheme="majorHAnsi" w:cstheme="majorHAnsi"/>
          <w:i w:val="0"/>
          <w:iCs w:val="0"/>
          <w:color w:val="1C6194" w:themeColor="accent2" w:themeShade="BF"/>
          <w:sz w:val="24"/>
          <w:szCs w:val="24"/>
          <w:lang w:val="el-GR"/>
        </w:rPr>
        <w:br/>
        <w:t>ESSPROS - ΕΤΟΣ 2022 (σε εκατομμύρια €)</w:t>
      </w:r>
      <w:bookmarkEnd w:id="28"/>
    </w:p>
    <w:tbl>
      <w:tblPr>
        <w:tblW w:w="7938" w:type="dxa"/>
        <w:jc w:val="center"/>
        <w:tblLook w:val="04A0" w:firstRow="1" w:lastRow="0" w:firstColumn="1" w:lastColumn="0" w:noHBand="0" w:noVBand="1"/>
        <w:tblCaption w:val="Δαπάνες Κοινωνικής Προστασίας με το Σύστημα Esspros  (σε εκατομμύρια €) -ΕΤΟΣ 2017"/>
        <w:tblDescription w:val="9.133, ήτοι 20,4% στο σύνολο δαπνών&#10;2.658, ήτοι 5,9% στο σύνολο δαπνών&#10;23.881, ήτοι 53,2% στο σύνολο δαπνών&#10;4.321, ήτοι 9,6% στο σύνολο δαπνών&#10;2.539, ήτοι 5,7% στο σύνολο δαπνών&#10;1.662, ήτοι 3,7% στο σύνολο δαπνών&#10;663, ήτοι 1,5% στο σύνολο δαπνών&#10;44.857, ήτοι 100,0% στο σύνολο δαπνών"/>
      </w:tblPr>
      <w:tblGrid>
        <w:gridCol w:w="2960"/>
        <w:gridCol w:w="2143"/>
        <w:gridCol w:w="2835"/>
      </w:tblGrid>
      <w:tr w:rsidR="008F60CC" w:rsidRPr="0001190B" w14:paraId="315867FF" w14:textId="77777777" w:rsidTr="00F73BAF">
        <w:trPr>
          <w:trHeight w:val="527"/>
          <w:jc w:val="center"/>
        </w:trPr>
        <w:tc>
          <w:tcPr>
            <w:tcW w:w="2960" w:type="dxa"/>
            <w:tcBorders>
              <w:bottom w:val="single" w:sz="4" w:space="0" w:color="404040" w:themeColor="text1" w:themeTint="BF"/>
            </w:tcBorders>
            <w:noWrap/>
            <w:vAlign w:val="bottom"/>
          </w:tcPr>
          <w:p w14:paraId="65184EDE" w14:textId="77777777" w:rsidR="008F60CC" w:rsidRPr="00E92831" w:rsidRDefault="008F60CC" w:rsidP="00F73BAF">
            <w:pPr>
              <w:spacing w:after="80" w:line="240" w:lineRule="auto"/>
              <w:rPr>
                <w:rFonts w:asciiTheme="majorHAnsi" w:hAnsiTheme="majorHAnsi" w:cstheme="majorHAnsi"/>
                <w:b/>
                <w:lang w:val="el-GR"/>
              </w:rPr>
            </w:pPr>
            <w:r w:rsidRPr="00E92831">
              <w:rPr>
                <w:rFonts w:asciiTheme="majorHAnsi" w:hAnsiTheme="majorHAnsi" w:cstheme="majorHAnsi"/>
                <w:b/>
                <w:lang w:val="el-GR"/>
              </w:rPr>
              <w:t>Λειτουργίες</w:t>
            </w:r>
          </w:p>
        </w:tc>
        <w:tc>
          <w:tcPr>
            <w:tcW w:w="2143" w:type="dxa"/>
            <w:tcBorders>
              <w:bottom w:val="single" w:sz="4" w:space="0" w:color="404040" w:themeColor="text1" w:themeTint="BF"/>
            </w:tcBorders>
            <w:vAlign w:val="bottom"/>
          </w:tcPr>
          <w:p w14:paraId="709692C1" w14:textId="77777777" w:rsidR="008F60CC" w:rsidRPr="00E92831" w:rsidRDefault="008F60CC" w:rsidP="00F73BAF">
            <w:pPr>
              <w:spacing w:after="80" w:line="240" w:lineRule="auto"/>
              <w:rPr>
                <w:rFonts w:asciiTheme="majorHAnsi" w:hAnsiTheme="majorHAnsi" w:cstheme="majorHAnsi"/>
                <w:b/>
              </w:rPr>
            </w:pPr>
            <w:r w:rsidRPr="00E92831">
              <w:rPr>
                <w:rFonts w:asciiTheme="majorHAnsi" w:hAnsiTheme="majorHAnsi" w:cstheme="majorHAnsi"/>
                <w:b/>
              </w:rPr>
              <w:t>ΑΝΑ ΛΕΙΤΟΥΡΓΙΑ</w:t>
            </w:r>
          </w:p>
        </w:tc>
        <w:tc>
          <w:tcPr>
            <w:tcW w:w="2835" w:type="dxa"/>
            <w:tcBorders>
              <w:bottom w:val="single" w:sz="4" w:space="0" w:color="404040" w:themeColor="text1" w:themeTint="BF"/>
            </w:tcBorders>
            <w:vAlign w:val="bottom"/>
          </w:tcPr>
          <w:p w14:paraId="5B88FCD5" w14:textId="77777777" w:rsidR="008F60CC" w:rsidRPr="00E92831" w:rsidRDefault="008F60CC" w:rsidP="00F73BAF">
            <w:pPr>
              <w:spacing w:after="80" w:line="240" w:lineRule="auto"/>
              <w:rPr>
                <w:rFonts w:asciiTheme="majorHAnsi" w:hAnsiTheme="majorHAnsi" w:cstheme="majorHAnsi"/>
                <w:b/>
                <w:lang w:val="el-GR"/>
              </w:rPr>
            </w:pPr>
            <w:r w:rsidRPr="00E92831">
              <w:rPr>
                <w:rFonts w:asciiTheme="majorHAnsi" w:hAnsiTheme="majorHAnsi" w:cstheme="majorHAnsi"/>
                <w:b/>
                <w:lang w:val="el-GR"/>
              </w:rPr>
              <w:t>% ΣΤΟ ΣΥΝΟΛΟ ΤΩΝ ΠΑΡΟΧΩΝ ΚΟΙΝΩΝΙΚΗΣ ΠΡΟΣΤΑΣΙΑΣ</w:t>
            </w:r>
          </w:p>
        </w:tc>
      </w:tr>
      <w:tr w:rsidR="008F60CC" w14:paraId="541BE597" w14:textId="77777777" w:rsidTr="00F73BAF">
        <w:trPr>
          <w:trHeight w:val="527"/>
          <w:jc w:val="center"/>
        </w:trPr>
        <w:tc>
          <w:tcPr>
            <w:tcW w:w="2960" w:type="dxa"/>
            <w:tcBorders>
              <w:top w:val="single" w:sz="4" w:space="0" w:color="404040" w:themeColor="text1" w:themeTint="BF"/>
            </w:tcBorders>
            <w:shd w:val="clear" w:color="auto" w:fill="F2F2F2" w:themeFill="background1" w:themeFillShade="F2"/>
            <w:noWrap/>
            <w:vAlign w:val="bottom"/>
          </w:tcPr>
          <w:p w14:paraId="279A7BB4" w14:textId="77777777" w:rsidR="008F60CC" w:rsidRPr="00E92831" w:rsidRDefault="008F60CC" w:rsidP="00F73BAF">
            <w:pPr>
              <w:rPr>
                <w:rFonts w:asciiTheme="majorHAnsi" w:hAnsiTheme="majorHAnsi" w:cstheme="majorHAnsi"/>
                <w:bCs/>
                <w:lang w:val="el-GR"/>
              </w:rPr>
            </w:pPr>
            <w:r w:rsidRPr="00E92831">
              <w:rPr>
                <w:rFonts w:asciiTheme="majorHAnsi" w:hAnsiTheme="majorHAnsi" w:cstheme="majorHAnsi"/>
                <w:bCs/>
                <w:lang w:val="el-GR"/>
              </w:rPr>
              <w:t>Ασθένεια</w:t>
            </w:r>
          </w:p>
        </w:tc>
        <w:tc>
          <w:tcPr>
            <w:tcW w:w="2143" w:type="dxa"/>
            <w:tcBorders>
              <w:top w:val="single" w:sz="4" w:space="0" w:color="404040" w:themeColor="text1" w:themeTint="BF"/>
            </w:tcBorders>
            <w:shd w:val="clear" w:color="auto" w:fill="F2F2F2" w:themeFill="background1" w:themeFillShade="F2"/>
            <w:vAlign w:val="bottom"/>
          </w:tcPr>
          <w:p w14:paraId="6C88689A" w14:textId="77777777" w:rsidR="008F60CC" w:rsidRPr="00E92831" w:rsidRDefault="008F60CC" w:rsidP="00F73BAF">
            <w:pPr>
              <w:rPr>
                <w:rFonts w:asciiTheme="majorHAnsi" w:hAnsiTheme="majorHAnsi" w:cstheme="majorHAnsi"/>
              </w:rPr>
            </w:pPr>
            <w:r w:rsidRPr="00E92831">
              <w:rPr>
                <w:rFonts w:asciiTheme="majorHAnsi" w:hAnsiTheme="majorHAnsi" w:cstheme="majorHAnsi"/>
              </w:rPr>
              <w:t>11.342</w:t>
            </w:r>
          </w:p>
        </w:tc>
        <w:tc>
          <w:tcPr>
            <w:tcW w:w="2835" w:type="dxa"/>
            <w:tcBorders>
              <w:top w:val="single" w:sz="4" w:space="0" w:color="404040" w:themeColor="text1" w:themeTint="BF"/>
            </w:tcBorders>
            <w:shd w:val="clear" w:color="auto" w:fill="F2F2F2" w:themeFill="background1" w:themeFillShade="F2"/>
            <w:vAlign w:val="bottom"/>
          </w:tcPr>
          <w:p w14:paraId="4821CF56" w14:textId="77777777" w:rsidR="008F60CC" w:rsidRPr="00E92831" w:rsidRDefault="008F60CC" w:rsidP="00F73BAF">
            <w:pPr>
              <w:rPr>
                <w:rFonts w:asciiTheme="majorHAnsi" w:hAnsiTheme="majorHAnsi" w:cstheme="majorHAnsi"/>
                <w:lang w:val="el-GR"/>
              </w:rPr>
            </w:pPr>
            <w:r w:rsidRPr="00E92831">
              <w:rPr>
                <w:rFonts w:asciiTheme="majorHAnsi" w:hAnsiTheme="majorHAnsi" w:cstheme="majorHAnsi"/>
                <w:lang w:val="el-GR"/>
              </w:rPr>
              <w:t>22,9%</w:t>
            </w:r>
          </w:p>
        </w:tc>
      </w:tr>
      <w:tr w:rsidR="008F60CC" w14:paraId="6DE5FB2E" w14:textId="77777777" w:rsidTr="00F73BAF">
        <w:trPr>
          <w:trHeight w:val="527"/>
          <w:jc w:val="center"/>
        </w:trPr>
        <w:tc>
          <w:tcPr>
            <w:tcW w:w="2960" w:type="dxa"/>
            <w:noWrap/>
            <w:vAlign w:val="bottom"/>
          </w:tcPr>
          <w:p w14:paraId="4D43B968" w14:textId="77777777" w:rsidR="008F60CC" w:rsidRPr="00E92831" w:rsidRDefault="008F60CC" w:rsidP="00F73BAF">
            <w:pPr>
              <w:rPr>
                <w:rFonts w:asciiTheme="majorHAnsi" w:hAnsiTheme="majorHAnsi" w:cstheme="majorHAnsi"/>
                <w:bCs/>
                <w:lang w:val="el-GR"/>
              </w:rPr>
            </w:pPr>
            <w:r w:rsidRPr="00E92831">
              <w:rPr>
                <w:rFonts w:asciiTheme="majorHAnsi" w:hAnsiTheme="majorHAnsi" w:cstheme="majorHAnsi"/>
                <w:bCs/>
                <w:lang w:val="el-GR"/>
              </w:rPr>
              <w:t>Αναπηρία</w:t>
            </w:r>
          </w:p>
        </w:tc>
        <w:tc>
          <w:tcPr>
            <w:tcW w:w="2143" w:type="dxa"/>
            <w:vAlign w:val="bottom"/>
          </w:tcPr>
          <w:p w14:paraId="3A2CA5AC" w14:textId="77777777" w:rsidR="008F60CC" w:rsidRPr="00E92831" w:rsidRDefault="008F60CC" w:rsidP="00F73BAF">
            <w:pPr>
              <w:rPr>
                <w:rFonts w:asciiTheme="majorHAnsi" w:hAnsiTheme="majorHAnsi" w:cstheme="majorHAnsi"/>
              </w:rPr>
            </w:pPr>
            <w:r w:rsidRPr="00E92831">
              <w:rPr>
                <w:rFonts w:asciiTheme="majorHAnsi" w:hAnsiTheme="majorHAnsi" w:cstheme="majorHAnsi"/>
              </w:rPr>
              <w:t>1.901</w:t>
            </w:r>
          </w:p>
        </w:tc>
        <w:tc>
          <w:tcPr>
            <w:tcW w:w="2835" w:type="dxa"/>
            <w:vAlign w:val="bottom"/>
          </w:tcPr>
          <w:p w14:paraId="5DDC779F" w14:textId="77777777" w:rsidR="008F60CC" w:rsidRPr="00E92831" w:rsidRDefault="008F60CC" w:rsidP="00F73BAF">
            <w:pPr>
              <w:rPr>
                <w:rFonts w:asciiTheme="majorHAnsi" w:hAnsiTheme="majorHAnsi" w:cstheme="majorHAnsi"/>
                <w:lang w:val="el-GR"/>
              </w:rPr>
            </w:pPr>
            <w:r w:rsidRPr="00E92831">
              <w:rPr>
                <w:rFonts w:asciiTheme="majorHAnsi" w:hAnsiTheme="majorHAnsi" w:cstheme="majorHAnsi"/>
                <w:lang w:val="el-GR"/>
              </w:rPr>
              <w:t>3,8%</w:t>
            </w:r>
          </w:p>
        </w:tc>
      </w:tr>
      <w:tr w:rsidR="008F60CC" w14:paraId="723AA1B7" w14:textId="77777777" w:rsidTr="00F73BAF">
        <w:trPr>
          <w:trHeight w:val="527"/>
          <w:jc w:val="center"/>
        </w:trPr>
        <w:tc>
          <w:tcPr>
            <w:tcW w:w="2960" w:type="dxa"/>
            <w:shd w:val="clear" w:color="auto" w:fill="F2F2F2" w:themeFill="background1" w:themeFillShade="F2"/>
            <w:noWrap/>
            <w:vAlign w:val="bottom"/>
          </w:tcPr>
          <w:p w14:paraId="2AE20D8C" w14:textId="77777777" w:rsidR="008F60CC" w:rsidRPr="00E92831" w:rsidRDefault="008F60CC" w:rsidP="00F73BAF">
            <w:pPr>
              <w:rPr>
                <w:rFonts w:asciiTheme="majorHAnsi" w:hAnsiTheme="majorHAnsi" w:cstheme="majorHAnsi"/>
                <w:bCs/>
                <w:lang w:val="el-GR"/>
              </w:rPr>
            </w:pPr>
            <w:r w:rsidRPr="00E92831">
              <w:rPr>
                <w:rFonts w:asciiTheme="majorHAnsi" w:hAnsiTheme="majorHAnsi" w:cstheme="majorHAnsi"/>
                <w:bCs/>
                <w:lang w:val="el-GR"/>
              </w:rPr>
              <w:t>Γήρας</w:t>
            </w:r>
          </w:p>
        </w:tc>
        <w:tc>
          <w:tcPr>
            <w:tcW w:w="2143" w:type="dxa"/>
            <w:shd w:val="clear" w:color="auto" w:fill="F2F2F2" w:themeFill="background1" w:themeFillShade="F2"/>
            <w:vAlign w:val="bottom"/>
          </w:tcPr>
          <w:p w14:paraId="3D2E74D3" w14:textId="77777777" w:rsidR="008F60CC" w:rsidRPr="00E92831" w:rsidRDefault="008F60CC" w:rsidP="00F73BAF">
            <w:pPr>
              <w:rPr>
                <w:rFonts w:asciiTheme="majorHAnsi" w:hAnsiTheme="majorHAnsi" w:cstheme="majorHAnsi"/>
              </w:rPr>
            </w:pPr>
            <w:r w:rsidRPr="00E92831">
              <w:rPr>
                <w:rFonts w:asciiTheme="majorHAnsi" w:hAnsiTheme="majorHAnsi" w:cstheme="majorHAnsi"/>
              </w:rPr>
              <w:t>25.711</w:t>
            </w:r>
          </w:p>
        </w:tc>
        <w:tc>
          <w:tcPr>
            <w:tcW w:w="2835" w:type="dxa"/>
            <w:shd w:val="clear" w:color="auto" w:fill="F2F2F2" w:themeFill="background1" w:themeFillShade="F2"/>
            <w:vAlign w:val="bottom"/>
          </w:tcPr>
          <w:p w14:paraId="3A4488A3" w14:textId="77777777" w:rsidR="008F60CC" w:rsidRPr="00E92831" w:rsidRDefault="008F60CC" w:rsidP="00F73BAF">
            <w:pPr>
              <w:rPr>
                <w:rFonts w:asciiTheme="majorHAnsi" w:hAnsiTheme="majorHAnsi" w:cstheme="majorHAnsi"/>
                <w:lang w:val="el-GR"/>
              </w:rPr>
            </w:pPr>
            <w:r w:rsidRPr="00E92831">
              <w:rPr>
                <w:rFonts w:asciiTheme="majorHAnsi" w:hAnsiTheme="majorHAnsi" w:cstheme="majorHAnsi"/>
                <w:lang w:val="el-GR"/>
              </w:rPr>
              <w:t>51,8%</w:t>
            </w:r>
          </w:p>
        </w:tc>
      </w:tr>
      <w:tr w:rsidR="008F60CC" w14:paraId="1B961B73" w14:textId="77777777" w:rsidTr="00F73BAF">
        <w:trPr>
          <w:trHeight w:val="527"/>
          <w:jc w:val="center"/>
        </w:trPr>
        <w:tc>
          <w:tcPr>
            <w:tcW w:w="2960" w:type="dxa"/>
            <w:noWrap/>
            <w:vAlign w:val="bottom"/>
          </w:tcPr>
          <w:p w14:paraId="4E5AD4C7" w14:textId="77777777" w:rsidR="008F60CC" w:rsidRPr="00E92831" w:rsidRDefault="008F60CC" w:rsidP="00F73BAF">
            <w:pPr>
              <w:rPr>
                <w:rFonts w:asciiTheme="majorHAnsi" w:hAnsiTheme="majorHAnsi" w:cstheme="majorHAnsi"/>
                <w:bCs/>
                <w:lang w:val="el-GR"/>
              </w:rPr>
            </w:pPr>
            <w:r w:rsidRPr="00E92831">
              <w:rPr>
                <w:rFonts w:asciiTheme="majorHAnsi" w:hAnsiTheme="majorHAnsi" w:cstheme="majorHAnsi"/>
                <w:bCs/>
                <w:lang w:val="el-GR"/>
              </w:rPr>
              <w:t>Χηρεία</w:t>
            </w:r>
          </w:p>
        </w:tc>
        <w:tc>
          <w:tcPr>
            <w:tcW w:w="2143" w:type="dxa"/>
            <w:vAlign w:val="bottom"/>
          </w:tcPr>
          <w:p w14:paraId="0DA1B455" w14:textId="77777777" w:rsidR="008F60CC" w:rsidRPr="00E92831" w:rsidRDefault="008F60CC" w:rsidP="00F73BAF">
            <w:pPr>
              <w:rPr>
                <w:rFonts w:asciiTheme="majorHAnsi" w:hAnsiTheme="majorHAnsi" w:cstheme="majorHAnsi"/>
              </w:rPr>
            </w:pPr>
            <w:r w:rsidRPr="00E92831">
              <w:rPr>
                <w:rFonts w:asciiTheme="majorHAnsi" w:hAnsiTheme="majorHAnsi" w:cstheme="majorHAnsi"/>
              </w:rPr>
              <w:t>4.907</w:t>
            </w:r>
          </w:p>
        </w:tc>
        <w:tc>
          <w:tcPr>
            <w:tcW w:w="2835" w:type="dxa"/>
            <w:vAlign w:val="bottom"/>
          </w:tcPr>
          <w:p w14:paraId="0F8FD2C9" w14:textId="77777777" w:rsidR="008F60CC" w:rsidRPr="00E92831" w:rsidRDefault="008F60CC" w:rsidP="00F73BAF">
            <w:pPr>
              <w:rPr>
                <w:rFonts w:asciiTheme="majorHAnsi" w:hAnsiTheme="majorHAnsi" w:cstheme="majorHAnsi"/>
                <w:lang w:val="el-GR"/>
              </w:rPr>
            </w:pPr>
            <w:r w:rsidRPr="00E92831">
              <w:rPr>
                <w:rFonts w:asciiTheme="majorHAnsi" w:hAnsiTheme="majorHAnsi" w:cstheme="majorHAnsi"/>
                <w:lang w:val="el-GR"/>
              </w:rPr>
              <w:t>9,9%</w:t>
            </w:r>
          </w:p>
        </w:tc>
      </w:tr>
      <w:tr w:rsidR="008F60CC" w14:paraId="65ECE437" w14:textId="77777777" w:rsidTr="00F73BAF">
        <w:trPr>
          <w:trHeight w:val="527"/>
          <w:jc w:val="center"/>
        </w:trPr>
        <w:tc>
          <w:tcPr>
            <w:tcW w:w="2960" w:type="dxa"/>
            <w:shd w:val="clear" w:color="auto" w:fill="F2F2F2" w:themeFill="background1" w:themeFillShade="F2"/>
            <w:noWrap/>
            <w:vAlign w:val="bottom"/>
          </w:tcPr>
          <w:p w14:paraId="68A7C79E" w14:textId="77777777" w:rsidR="008F60CC" w:rsidRPr="00E92831" w:rsidRDefault="008F60CC" w:rsidP="00F73BAF">
            <w:pPr>
              <w:rPr>
                <w:rFonts w:asciiTheme="majorHAnsi" w:hAnsiTheme="majorHAnsi" w:cstheme="majorHAnsi"/>
                <w:bCs/>
                <w:lang w:val="el-GR"/>
              </w:rPr>
            </w:pPr>
            <w:r w:rsidRPr="00E92831">
              <w:rPr>
                <w:rFonts w:asciiTheme="majorHAnsi" w:hAnsiTheme="majorHAnsi" w:cstheme="majorHAnsi"/>
                <w:bCs/>
                <w:lang w:val="el-GR"/>
              </w:rPr>
              <w:t>Οικογένεια</w:t>
            </w:r>
          </w:p>
        </w:tc>
        <w:tc>
          <w:tcPr>
            <w:tcW w:w="2143" w:type="dxa"/>
            <w:shd w:val="clear" w:color="auto" w:fill="F2F2F2" w:themeFill="background1" w:themeFillShade="F2"/>
            <w:vAlign w:val="bottom"/>
          </w:tcPr>
          <w:p w14:paraId="07A1E520" w14:textId="77777777" w:rsidR="008F60CC" w:rsidRPr="00E92831" w:rsidRDefault="008F60CC" w:rsidP="00F73BAF">
            <w:pPr>
              <w:rPr>
                <w:rFonts w:asciiTheme="majorHAnsi" w:hAnsiTheme="majorHAnsi" w:cstheme="majorHAnsi"/>
              </w:rPr>
            </w:pPr>
            <w:r w:rsidRPr="00E92831">
              <w:rPr>
                <w:rFonts w:asciiTheme="majorHAnsi" w:hAnsiTheme="majorHAnsi" w:cstheme="majorHAnsi"/>
              </w:rPr>
              <w:t>2.758</w:t>
            </w:r>
          </w:p>
        </w:tc>
        <w:tc>
          <w:tcPr>
            <w:tcW w:w="2835" w:type="dxa"/>
            <w:shd w:val="clear" w:color="auto" w:fill="F2F2F2" w:themeFill="background1" w:themeFillShade="F2"/>
            <w:vAlign w:val="bottom"/>
          </w:tcPr>
          <w:p w14:paraId="68DF9F3D" w14:textId="77777777" w:rsidR="008F60CC" w:rsidRPr="00E92831" w:rsidRDefault="008F60CC" w:rsidP="00F73BAF">
            <w:pPr>
              <w:rPr>
                <w:rFonts w:asciiTheme="majorHAnsi" w:hAnsiTheme="majorHAnsi" w:cstheme="majorHAnsi"/>
                <w:lang w:val="el-GR"/>
              </w:rPr>
            </w:pPr>
            <w:r w:rsidRPr="00E92831">
              <w:rPr>
                <w:rFonts w:asciiTheme="majorHAnsi" w:hAnsiTheme="majorHAnsi" w:cstheme="majorHAnsi"/>
                <w:lang w:val="el-GR"/>
              </w:rPr>
              <w:t>5,6%</w:t>
            </w:r>
          </w:p>
        </w:tc>
      </w:tr>
      <w:tr w:rsidR="008F60CC" w14:paraId="63904720" w14:textId="77777777" w:rsidTr="00F73BAF">
        <w:trPr>
          <w:trHeight w:val="527"/>
          <w:jc w:val="center"/>
        </w:trPr>
        <w:tc>
          <w:tcPr>
            <w:tcW w:w="2960" w:type="dxa"/>
            <w:noWrap/>
            <w:vAlign w:val="bottom"/>
          </w:tcPr>
          <w:p w14:paraId="4BFBF1E3" w14:textId="77777777" w:rsidR="008F60CC" w:rsidRPr="00E92831" w:rsidRDefault="008F60CC" w:rsidP="00F73BAF">
            <w:pPr>
              <w:rPr>
                <w:rFonts w:asciiTheme="majorHAnsi" w:hAnsiTheme="majorHAnsi" w:cstheme="majorHAnsi"/>
                <w:bCs/>
                <w:lang w:val="el-GR"/>
              </w:rPr>
            </w:pPr>
            <w:r w:rsidRPr="00E92831">
              <w:rPr>
                <w:rFonts w:asciiTheme="majorHAnsi" w:hAnsiTheme="majorHAnsi" w:cstheme="majorHAnsi"/>
                <w:bCs/>
                <w:lang w:val="el-GR"/>
              </w:rPr>
              <w:t>Ανεργία</w:t>
            </w:r>
          </w:p>
        </w:tc>
        <w:tc>
          <w:tcPr>
            <w:tcW w:w="2143" w:type="dxa"/>
            <w:vAlign w:val="bottom"/>
          </w:tcPr>
          <w:p w14:paraId="1B7B7E7D" w14:textId="77777777" w:rsidR="008F60CC" w:rsidRPr="00E92831" w:rsidRDefault="008F60CC" w:rsidP="00F73BAF">
            <w:pPr>
              <w:rPr>
                <w:rFonts w:asciiTheme="majorHAnsi" w:hAnsiTheme="majorHAnsi" w:cstheme="majorHAnsi"/>
              </w:rPr>
            </w:pPr>
            <w:r w:rsidRPr="00E92831">
              <w:rPr>
                <w:rFonts w:asciiTheme="majorHAnsi" w:hAnsiTheme="majorHAnsi" w:cstheme="majorHAnsi"/>
              </w:rPr>
              <w:t>1.818</w:t>
            </w:r>
          </w:p>
        </w:tc>
        <w:tc>
          <w:tcPr>
            <w:tcW w:w="2835" w:type="dxa"/>
            <w:vAlign w:val="bottom"/>
          </w:tcPr>
          <w:p w14:paraId="6BB03FE6" w14:textId="77777777" w:rsidR="008F60CC" w:rsidRPr="00E92831" w:rsidRDefault="008F60CC" w:rsidP="00F73BAF">
            <w:pPr>
              <w:rPr>
                <w:rFonts w:asciiTheme="majorHAnsi" w:hAnsiTheme="majorHAnsi" w:cstheme="majorHAnsi"/>
                <w:lang w:val="el-GR"/>
              </w:rPr>
            </w:pPr>
            <w:r w:rsidRPr="00E92831">
              <w:rPr>
                <w:rFonts w:asciiTheme="majorHAnsi" w:hAnsiTheme="majorHAnsi" w:cstheme="majorHAnsi"/>
                <w:lang w:val="el-GR"/>
              </w:rPr>
              <w:t>3,7%</w:t>
            </w:r>
          </w:p>
        </w:tc>
      </w:tr>
      <w:tr w:rsidR="008F60CC" w14:paraId="21A25A9C" w14:textId="77777777" w:rsidTr="00F73BAF">
        <w:trPr>
          <w:trHeight w:val="527"/>
          <w:jc w:val="center"/>
        </w:trPr>
        <w:tc>
          <w:tcPr>
            <w:tcW w:w="2960" w:type="dxa"/>
            <w:shd w:val="clear" w:color="auto" w:fill="F2F2F2" w:themeFill="background1" w:themeFillShade="F2"/>
            <w:noWrap/>
            <w:vAlign w:val="bottom"/>
          </w:tcPr>
          <w:p w14:paraId="3105781C" w14:textId="77777777" w:rsidR="008F60CC" w:rsidRPr="00E92831" w:rsidRDefault="008F60CC" w:rsidP="00F73BAF">
            <w:pPr>
              <w:rPr>
                <w:rFonts w:asciiTheme="majorHAnsi" w:hAnsiTheme="majorHAnsi" w:cstheme="majorHAnsi"/>
                <w:bCs/>
                <w:lang w:val="el-GR"/>
              </w:rPr>
            </w:pPr>
            <w:r w:rsidRPr="00E92831">
              <w:rPr>
                <w:rFonts w:asciiTheme="majorHAnsi" w:hAnsiTheme="majorHAnsi" w:cstheme="majorHAnsi"/>
                <w:bCs/>
                <w:lang w:val="el-GR"/>
              </w:rPr>
              <w:t>Στέγαση</w:t>
            </w:r>
          </w:p>
        </w:tc>
        <w:tc>
          <w:tcPr>
            <w:tcW w:w="2143" w:type="dxa"/>
            <w:shd w:val="clear" w:color="auto" w:fill="F2F2F2" w:themeFill="background1" w:themeFillShade="F2"/>
            <w:vAlign w:val="bottom"/>
          </w:tcPr>
          <w:p w14:paraId="39DD89B6" w14:textId="77777777" w:rsidR="008F60CC" w:rsidRPr="00E92831" w:rsidRDefault="008F60CC" w:rsidP="00F73BAF">
            <w:pPr>
              <w:rPr>
                <w:rFonts w:asciiTheme="majorHAnsi" w:hAnsiTheme="majorHAnsi" w:cstheme="majorHAnsi"/>
              </w:rPr>
            </w:pPr>
            <w:r w:rsidRPr="00E92831">
              <w:rPr>
                <w:rFonts w:asciiTheme="majorHAnsi" w:hAnsiTheme="majorHAnsi" w:cstheme="majorHAnsi"/>
              </w:rPr>
              <w:t>405</w:t>
            </w:r>
          </w:p>
        </w:tc>
        <w:tc>
          <w:tcPr>
            <w:tcW w:w="2835" w:type="dxa"/>
            <w:shd w:val="clear" w:color="auto" w:fill="F2F2F2" w:themeFill="background1" w:themeFillShade="F2"/>
            <w:vAlign w:val="bottom"/>
          </w:tcPr>
          <w:p w14:paraId="02F8E629" w14:textId="77777777" w:rsidR="008F60CC" w:rsidRPr="00E92831" w:rsidRDefault="008F60CC" w:rsidP="00F73BAF">
            <w:pPr>
              <w:rPr>
                <w:rFonts w:asciiTheme="majorHAnsi" w:hAnsiTheme="majorHAnsi" w:cstheme="majorHAnsi"/>
                <w:lang w:val="el-GR"/>
              </w:rPr>
            </w:pPr>
            <w:r w:rsidRPr="00E92831">
              <w:rPr>
                <w:rFonts w:asciiTheme="majorHAnsi" w:hAnsiTheme="majorHAnsi" w:cstheme="majorHAnsi"/>
                <w:lang w:val="el-GR"/>
              </w:rPr>
              <w:t>0,8%</w:t>
            </w:r>
          </w:p>
        </w:tc>
      </w:tr>
      <w:tr w:rsidR="008F60CC" w14:paraId="7E49E2A0" w14:textId="77777777" w:rsidTr="00F73BAF">
        <w:trPr>
          <w:trHeight w:val="527"/>
          <w:jc w:val="center"/>
        </w:trPr>
        <w:tc>
          <w:tcPr>
            <w:tcW w:w="2960" w:type="dxa"/>
            <w:noWrap/>
            <w:vAlign w:val="bottom"/>
          </w:tcPr>
          <w:p w14:paraId="6C7AD07D" w14:textId="77777777" w:rsidR="008F60CC" w:rsidRPr="00E92831" w:rsidRDefault="008F60CC" w:rsidP="00F73BAF">
            <w:pPr>
              <w:rPr>
                <w:rFonts w:asciiTheme="majorHAnsi" w:hAnsiTheme="majorHAnsi" w:cstheme="majorHAnsi"/>
                <w:bCs/>
                <w:lang w:val="el-GR"/>
              </w:rPr>
            </w:pPr>
            <w:r w:rsidRPr="00E92831">
              <w:rPr>
                <w:rFonts w:asciiTheme="majorHAnsi" w:hAnsiTheme="majorHAnsi" w:cstheme="majorHAnsi"/>
                <w:bCs/>
                <w:lang w:val="el-GR"/>
              </w:rPr>
              <w:t>Κοινωνικός αποκλεισμός</w:t>
            </w:r>
          </w:p>
        </w:tc>
        <w:tc>
          <w:tcPr>
            <w:tcW w:w="2143" w:type="dxa"/>
            <w:vAlign w:val="bottom"/>
          </w:tcPr>
          <w:p w14:paraId="3E9D36A2" w14:textId="77777777" w:rsidR="008F60CC" w:rsidRPr="00E92831" w:rsidRDefault="008F60CC" w:rsidP="00F73BAF">
            <w:pPr>
              <w:rPr>
                <w:rFonts w:asciiTheme="majorHAnsi" w:hAnsiTheme="majorHAnsi" w:cstheme="majorHAnsi"/>
              </w:rPr>
            </w:pPr>
            <w:r w:rsidRPr="00E92831">
              <w:rPr>
                <w:rFonts w:asciiTheme="majorHAnsi" w:hAnsiTheme="majorHAnsi" w:cstheme="majorHAnsi"/>
              </w:rPr>
              <w:t>772</w:t>
            </w:r>
          </w:p>
        </w:tc>
        <w:tc>
          <w:tcPr>
            <w:tcW w:w="2835" w:type="dxa"/>
            <w:vAlign w:val="bottom"/>
          </w:tcPr>
          <w:p w14:paraId="3045BBFF" w14:textId="77777777" w:rsidR="008F60CC" w:rsidRPr="00E92831" w:rsidRDefault="008F60CC" w:rsidP="00F73BAF">
            <w:pPr>
              <w:rPr>
                <w:rFonts w:asciiTheme="majorHAnsi" w:hAnsiTheme="majorHAnsi" w:cstheme="majorHAnsi"/>
                <w:lang w:val="el-GR"/>
              </w:rPr>
            </w:pPr>
            <w:r w:rsidRPr="00E92831">
              <w:rPr>
                <w:rFonts w:asciiTheme="majorHAnsi" w:hAnsiTheme="majorHAnsi" w:cstheme="majorHAnsi"/>
                <w:lang w:val="el-GR"/>
              </w:rPr>
              <w:t>1,6%</w:t>
            </w:r>
          </w:p>
        </w:tc>
      </w:tr>
      <w:tr w:rsidR="008F60CC" w14:paraId="132D5C00" w14:textId="77777777" w:rsidTr="00F73BAF">
        <w:trPr>
          <w:trHeight w:val="527"/>
          <w:jc w:val="center"/>
        </w:trPr>
        <w:tc>
          <w:tcPr>
            <w:tcW w:w="2960" w:type="dxa"/>
            <w:shd w:val="clear" w:color="auto" w:fill="D9D9D9" w:themeFill="background1" w:themeFillShade="D9"/>
            <w:noWrap/>
            <w:vAlign w:val="bottom"/>
          </w:tcPr>
          <w:p w14:paraId="73880EC8" w14:textId="77777777" w:rsidR="008F60CC" w:rsidRPr="00E92831" w:rsidRDefault="008F60CC" w:rsidP="00F73BAF">
            <w:pPr>
              <w:rPr>
                <w:rFonts w:asciiTheme="majorHAnsi" w:hAnsiTheme="majorHAnsi" w:cstheme="majorHAnsi"/>
                <w:b/>
                <w:lang w:val="el-GR"/>
              </w:rPr>
            </w:pPr>
            <w:r w:rsidRPr="00E92831">
              <w:rPr>
                <w:rFonts w:asciiTheme="majorHAnsi" w:hAnsiTheme="majorHAnsi" w:cstheme="majorHAnsi"/>
                <w:b/>
                <w:lang w:val="el-GR"/>
              </w:rPr>
              <w:t>Σύνολο</w:t>
            </w:r>
          </w:p>
        </w:tc>
        <w:tc>
          <w:tcPr>
            <w:tcW w:w="2143" w:type="dxa"/>
            <w:shd w:val="clear" w:color="auto" w:fill="D9D9D9" w:themeFill="background1" w:themeFillShade="D9"/>
            <w:vAlign w:val="bottom"/>
          </w:tcPr>
          <w:p w14:paraId="45ABF5D5" w14:textId="77777777" w:rsidR="008F60CC" w:rsidRPr="00E92831" w:rsidRDefault="008F60CC" w:rsidP="00F73BAF">
            <w:pPr>
              <w:rPr>
                <w:rFonts w:asciiTheme="majorHAnsi" w:hAnsiTheme="majorHAnsi" w:cstheme="majorHAnsi"/>
                <w:b/>
              </w:rPr>
            </w:pPr>
            <w:r w:rsidRPr="00E92831">
              <w:rPr>
                <w:rFonts w:asciiTheme="majorHAnsi" w:hAnsiTheme="majorHAnsi" w:cstheme="majorHAnsi"/>
                <w:b/>
              </w:rPr>
              <w:t>49.614</w:t>
            </w:r>
          </w:p>
        </w:tc>
        <w:tc>
          <w:tcPr>
            <w:tcW w:w="2835" w:type="dxa"/>
            <w:shd w:val="clear" w:color="auto" w:fill="D9D9D9" w:themeFill="background1" w:themeFillShade="D9"/>
            <w:vAlign w:val="bottom"/>
          </w:tcPr>
          <w:p w14:paraId="7102CADC" w14:textId="77777777" w:rsidR="008F60CC" w:rsidRPr="00E92831" w:rsidRDefault="008F60CC" w:rsidP="00F73BAF">
            <w:pPr>
              <w:rPr>
                <w:rFonts w:asciiTheme="majorHAnsi" w:hAnsiTheme="majorHAnsi" w:cstheme="majorHAnsi"/>
                <w:b/>
                <w:lang w:val="el-GR"/>
              </w:rPr>
            </w:pPr>
            <w:r w:rsidRPr="00E92831">
              <w:rPr>
                <w:rFonts w:asciiTheme="majorHAnsi" w:hAnsiTheme="majorHAnsi" w:cstheme="majorHAnsi"/>
                <w:b/>
                <w:lang w:val="el-GR"/>
              </w:rPr>
              <w:t>100%</w:t>
            </w:r>
          </w:p>
        </w:tc>
      </w:tr>
    </w:tbl>
    <w:p w14:paraId="4E2F2C10" w14:textId="77777777" w:rsidR="008F60CC" w:rsidRPr="008F60CC" w:rsidRDefault="008F60CC" w:rsidP="008F60CC">
      <w:pPr>
        <w:pStyle w:val="Caption"/>
        <w:spacing w:before="120" w:after="240"/>
        <w:jc w:val="center"/>
        <w:rPr>
          <w:rFonts w:asciiTheme="majorHAnsi" w:hAnsiTheme="majorHAnsi" w:cstheme="majorHAnsi"/>
          <w:color w:val="1C6194" w:themeColor="accent2" w:themeShade="BF"/>
          <w:lang w:val="el-GR"/>
        </w:rPr>
      </w:pPr>
      <w:r w:rsidRPr="008F60CC">
        <w:rPr>
          <w:rFonts w:asciiTheme="majorHAnsi" w:hAnsiTheme="majorHAnsi" w:cstheme="majorHAnsi"/>
          <w:b/>
          <w:bCs/>
          <w:color w:val="1C6194" w:themeColor="accent2" w:themeShade="BF"/>
          <w:lang w:val="el-GR"/>
        </w:rPr>
        <w:t>Πηγή</w:t>
      </w:r>
      <w:r w:rsidRPr="008F60CC">
        <w:rPr>
          <w:rFonts w:asciiTheme="majorHAnsi" w:hAnsiTheme="majorHAnsi" w:cstheme="majorHAnsi"/>
          <w:color w:val="1C6194" w:themeColor="accent2" w:themeShade="BF"/>
          <w:lang w:val="el-GR"/>
        </w:rPr>
        <w:t>: Ελληνική Στατιστική Αρχή, Ευρωπαϊκό Σύστημα Ολοκληρωμένων Στατιστικών Κοινωνικής Προστασίας (ESSPROS)</w:t>
      </w:r>
    </w:p>
    <w:p w14:paraId="02BA4745" w14:textId="77777777" w:rsidR="008F60CC" w:rsidRDefault="008F60CC" w:rsidP="008F60CC">
      <w:pPr>
        <w:rPr>
          <w:lang w:val="el-GR"/>
        </w:rPr>
      </w:pPr>
    </w:p>
    <w:p w14:paraId="3F4CD34B" w14:textId="77777777" w:rsidR="008F60CC" w:rsidRDefault="008F60CC" w:rsidP="008F60CC">
      <w:pPr>
        <w:spacing w:after="0" w:line="240" w:lineRule="auto"/>
        <w:rPr>
          <w:lang w:val="el-GR"/>
        </w:rPr>
      </w:pPr>
      <w:r>
        <w:rPr>
          <w:lang w:val="el-GR"/>
        </w:rPr>
        <w:br w:type="page"/>
      </w:r>
    </w:p>
    <w:p w14:paraId="0152CB0E" w14:textId="77777777" w:rsidR="008F60CC" w:rsidRDefault="008F60CC" w:rsidP="008F60CC">
      <w:pPr>
        <w:pStyle w:val="Heading2"/>
        <w:tabs>
          <w:tab w:val="left" w:pos="360"/>
        </w:tabs>
        <w:spacing w:before="360" w:after="240"/>
        <w:ind w:left="426" w:right="-142" w:hanging="426"/>
      </w:pPr>
      <w:bookmarkStart w:id="30" w:name="_Toc12647"/>
      <w:bookmarkStart w:id="31" w:name="_Toc222493320"/>
      <w:r>
        <w:lastRenderedPageBreak/>
        <w:t>Δαπάνες για κοινωνικές παροχές για την «Αναπηρία»</w:t>
      </w:r>
      <w:bookmarkEnd w:id="30"/>
      <w:bookmarkEnd w:id="31"/>
      <w:r>
        <w:t xml:space="preserve"> </w:t>
      </w:r>
    </w:p>
    <w:p w14:paraId="6044844B" w14:textId="77777777" w:rsidR="008F60CC" w:rsidRPr="008F60CC" w:rsidRDefault="008F60CC" w:rsidP="008F60CC">
      <w:pPr>
        <w:jc w:val="both"/>
        <w:rPr>
          <w:rFonts w:ascii="Constantia" w:hAnsi="Constantia"/>
          <w:sz w:val="24"/>
          <w:szCs w:val="24"/>
          <w:lang w:val="el-GR"/>
        </w:rPr>
      </w:pPr>
      <w:bookmarkStart w:id="32" w:name="_Hlk201563804"/>
      <w:r w:rsidRPr="008F60CC">
        <w:rPr>
          <w:rFonts w:ascii="Constantia" w:hAnsi="Constantia"/>
          <w:sz w:val="24"/>
          <w:szCs w:val="24"/>
          <w:lang w:val="el-GR"/>
        </w:rPr>
        <w:t xml:space="preserve">Το 2022, οι δαπάνες για κοινωνικές παροχές για την αναπηρία ανήλθαν σε 1.901 εκατ. Ευρώ. Η διαχρονική ανάλυση των στοιχείων φανερώνει την τεράστια περικοπή που υπέστησαν οι δαπάνες προστασίας της αναπηρίας κατά τη διάρκεια της οικονομικής κρίσης και των μνημονίων. Το διάστημα 2012 έως 2015, οι δαπάνες για την αναπηρία </w:t>
      </w:r>
      <w:proofErr w:type="spellStart"/>
      <w:r w:rsidRPr="008F60CC">
        <w:rPr>
          <w:rFonts w:ascii="Constantia" w:hAnsi="Constantia"/>
          <w:sz w:val="24"/>
          <w:szCs w:val="24"/>
          <w:lang w:val="el-GR"/>
        </w:rPr>
        <w:t>περικόπηκαν</w:t>
      </w:r>
      <w:proofErr w:type="spellEnd"/>
      <w:r w:rsidRPr="008F60CC">
        <w:rPr>
          <w:rFonts w:ascii="Constantia" w:hAnsi="Constantia"/>
          <w:sz w:val="24"/>
          <w:szCs w:val="24"/>
          <w:lang w:val="el-GR"/>
        </w:rPr>
        <w:t xml:space="preserve"> σε ποσοστό 42%, ενώ έκτοτε παραμένουν μέχρι και το 2022 σε παρόμοια, εξαιρετικά χαμηλά επίπεδα.</w:t>
      </w:r>
    </w:p>
    <w:p w14:paraId="2E715D02" w14:textId="77777777" w:rsidR="008F60CC" w:rsidRPr="008F60CC" w:rsidRDefault="008F60CC" w:rsidP="008F60CC">
      <w:pPr>
        <w:pStyle w:val="Caption"/>
        <w:spacing w:before="360" w:after="120"/>
        <w:ind w:right="-2"/>
        <w:jc w:val="center"/>
        <w:rPr>
          <w:rFonts w:asciiTheme="majorHAnsi" w:hAnsiTheme="majorHAnsi" w:cstheme="majorHAnsi"/>
          <w:i w:val="0"/>
          <w:iCs w:val="0"/>
          <w:color w:val="1C6194" w:themeColor="accent2" w:themeShade="BF"/>
          <w:sz w:val="24"/>
          <w:szCs w:val="24"/>
          <w:lang w:val="el-GR"/>
        </w:rPr>
      </w:pPr>
      <w:bookmarkStart w:id="33" w:name="_Toc201687253"/>
      <w:bookmarkStart w:id="34" w:name="_Toc222493359"/>
      <w:bookmarkEnd w:id="32"/>
      <w:r w:rsidRPr="008F60CC">
        <w:rPr>
          <w:rFonts w:asciiTheme="majorHAnsi" w:hAnsiTheme="majorHAnsi" w:cstheme="majorHAnsi"/>
          <w:b/>
          <w:bCs/>
          <w:i w:val="0"/>
          <w:iCs w:val="0"/>
          <w:color w:val="1C6194" w:themeColor="accent2" w:themeShade="BF"/>
          <w:sz w:val="24"/>
          <w:szCs w:val="24"/>
          <w:lang w:val="el-GR"/>
        </w:rPr>
        <w:t xml:space="preserve">Γράφημα </w:t>
      </w:r>
      <w:r w:rsidRPr="008F60CC">
        <w:rPr>
          <w:rFonts w:asciiTheme="majorHAnsi" w:hAnsiTheme="majorHAnsi" w:cstheme="majorHAnsi"/>
          <w:b/>
          <w:bCs/>
          <w:i w:val="0"/>
          <w:iCs w:val="0"/>
          <w:color w:val="1C6194" w:themeColor="accent2" w:themeShade="BF"/>
          <w:sz w:val="24"/>
          <w:szCs w:val="24"/>
          <w:lang w:val="el-GR"/>
        </w:rPr>
        <w:fldChar w:fldCharType="begin"/>
      </w:r>
      <w:r w:rsidRPr="008F60CC">
        <w:rPr>
          <w:rFonts w:asciiTheme="majorHAnsi" w:hAnsiTheme="majorHAnsi" w:cstheme="majorHAnsi"/>
          <w:b/>
          <w:bCs/>
          <w:i w:val="0"/>
          <w:iCs w:val="0"/>
          <w:color w:val="1C6194" w:themeColor="accent2" w:themeShade="BF"/>
          <w:sz w:val="24"/>
          <w:szCs w:val="24"/>
          <w:lang w:val="el-GR"/>
        </w:rPr>
        <w:instrText xml:space="preserve"> SEQ Γράφημα \* ARABIC </w:instrText>
      </w:r>
      <w:r w:rsidRPr="008F60CC">
        <w:rPr>
          <w:rFonts w:asciiTheme="majorHAnsi" w:hAnsiTheme="majorHAnsi" w:cstheme="majorHAnsi"/>
          <w:b/>
          <w:bCs/>
          <w:i w:val="0"/>
          <w:iCs w:val="0"/>
          <w:color w:val="1C6194" w:themeColor="accent2" w:themeShade="BF"/>
          <w:sz w:val="24"/>
          <w:szCs w:val="24"/>
          <w:lang w:val="el-GR"/>
        </w:rPr>
        <w:fldChar w:fldCharType="separate"/>
      </w:r>
      <w:r w:rsidRPr="008F60CC">
        <w:rPr>
          <w:rFonts w:asciiTheme="majorHAnsi" w:hAnsiTheme="majorHAnsi" w:cstheme="majorHAnsi"/>
          <w:b/>
          <w:bCs/>
          <w:i w:val="0"/>
          <w:iCs w:val="0"/>
          <w:color w:val="1C6194" w:themeColor="accent2" w:themeShade="BF"/>
          <w:sz w:val="24"/>
          <w:szCs w:val="24"/>
          <w:lang w:val="el-GR"/>
        </w:rPr>
        <w:t>5</w:t>
      </w:r>
      <w:r w:rsidRPr="008F60CC">
        <w:rPr>
          <w:rFonts w:asciiTheme="majorHAnsi" w:hAnsiTheme="majorHAnsi" w:cstheme="majorHAnsi"/>
          <w:b/>
          <w:bCs/>
          <w:i w:val="0"/>
          <w:iCs w:val="0"/>
          <w:color w:val="1C6194" w:themeColor="accent2" w:themeShade="BF"/>
          <w:sz w:val="24"/>
          <w:szCs w:val="24"/>
          <w:lang w:val="el-GR"/>
        </w:rPr>
        <w:fldChar w:fldCharType="end"/>
      </w:r>
      <w:r w:rsidRPr="008F60CC">
        <w:rPr>
          <w:rFonts w:asciiTheme="majorHAnsi" w:hAnsiTheme="majorHAnsi" w:cstheme="majorHAnsi"/>
          <w:i w:val="0"/>
          <w:iCs w:val="0"/>
          <w:color w:val="1C6194" w:themeColor="accent2" w:themeShade="BF"/>
          <w:sz w:val="24"/>
          <w:szCs w:val="24"/>
          <w:lang w:val="el-GR"/>
        </w:rPr>
        <w:t>: Διαχρονική εξέλιξη δαπανών για παροχές κοινωνικής προστασίας για την αναπηρία (σε εκατομμύρια €)</w:t>
      </w:r>
      <w:bookmarkEnd w:id="33"/>
      <w:bookmarkEnd w:id="34"/>
    </w:p>
    <w:p w14:paraId="4E09DDF5" w14:textId="77777777" w:rsidR="008F60CC" w:rsidRDefault="008F60CC" w:rsidP="008F60CC">
      <w:pPr>
        <w:rPr>
          <w:b/>
        </w:rPr>
      </w:pPr>
      <w:r>
        <w:rPr>
          <w:noProof/>
          <w:lang w:val="el-GR" w:eastAsia="el-GR"/>
        </w:rPr>
        <w:drawing>
          <wp:inline distT="0" distB="0" distL="0" distR="0" wp14:anchorId="11F7F6F9" wp14:editId="70CA62C1">
            <wp:extent cx="5579745" cy="3945890"/>
            <wp:effectExtent l="0" t="0" r="1905" b="0"/>
            <wp:docPr id="1233346854" name="Chart 1" descr="3.361 το 2012, 3.018 το 2013, 2.969 το 2014, 1.950 το 2015, 1.935 το 2016, 1.884 το 2017, 1.826 το 2018, 1.977 το 2019, 1.891 το 2020, 1.907 το 2021, 1.901 το 2022.">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B94DDBD" w14:textId="77777777" w:rsidR="008F60CC" w:rsidRPr="008F60CC" w:rsidRDefault="008F60CC" w:rsidP="008F60CC">
      <w:pPr>
        <w:pStyle w:val="Caption"/>
        <w:spacing w:before="120" w:after="240"/>
        <w:jc w:val="center"/>
        <w:rPr>
          <w:rFonts w:asciiTheme="majorHAnsi" w:hAnsiTheme="majorHAnsi" w:cstheme="majorHAnsi"/>
          <w:color w:val="1C6194" w:themeColor="accent2" w:themeShade="BF"/>
          <w:lang w:val="el-GR"/>
        </w:rPr>
      </w:pPr>
      <w:r w:rsidRPr="008F60CC">
        <w:rPr>
          <w:rFonts w:asciiTheme="majorHAnsi" w:hAnsiTheme="majorHAnsi" w:cstheme="majorHAnsi"/>
          <w:b/>
          <w:bCs/>
          <w:color w:val="1C6194" w:themeColor="accent2" w:themeShade="BF"/>
          <w:lang w:val="el-GR"/>
        </w:rPr>
        <w:t>Πηγή</w:t>
      </w:r>
      <w:r w:rsidRPr="008F60CC">
        <w:rPr>
          <w:rFonts w:asciiTheme="majorHAnsi" w:hAnsiTheme="majorHAnsi" w:cstheme="majorHAnsi"/>
          <w:color w:val="1C6194" w:themeColor="accent2" w:themeShade="BF"/>
          <w:lang w:val="el-GR"/>
        </w:rPr>
        <w:t xml:space="preserve">: Ελληνική Στατιστική Αρχή, Ευρωπαϊκό Σύστημα Ολοκληρωμένων Στατιστικών Κοινωνικής Προστασίας (ESSPROS) / </w:t>
      </w:r>
      <w:r w:rsidRPr="008F60CC">
        <w:rPr>
          <w:rFonts w:asciiTheme="majorHAnsi" w:hAnsiTheme="majorHAnsi" w:cstheme="majorHAnsi"/>
          <w:b/>
          <w:bCs/>
          <w:color w:val="1C6194" w:themeColor="accent2" w:themeShade="BF"/>
          <w:lang w:val="el-GR"/>
        </w:rPr>
        <w:t>Επεξεργασία</w:t>
      </w:r>
      <w:r w:rsidRPr="008F60CC">
        <w:rPr>
          <w:rFonts w:asciiTheme="majorHAnsi" w:hAnsiTheme="majorHAnsi" w:cstheme="majorHAnsi"/>
          <w:color w:val="1C6194" w:themeColor="accent2" w:themeShade="BF"/>
          <w:lang w:val="el-GR"/>
        </w:rPr>
        <w:t>: Παρατηρητήριο Θεμάτων Αναπηρίας-Ε.Σ.Α.μεΑ.</w:t>
      </w:r>
    </w:p>
    <w:p w14:paraId="490B7E6A" w14:textId="77777777" w:rsidR="008F60CC" w:rsidRDefault="008F60CC" w:rsidP="008F60CC">
      <w:pPr>
        <w:jc w:val="both"/>
        <w:rPr>
          <w:sz w:val="24"/>
          <w:szCs w:val="24"/>
          <w:lang w:val="el-GR"/>
        </w:rPr>
      </w:pPr>
    </w:p>
    <w:p w14:paraId="58FD91EE" w14:textId="77777777" w:rsidR="008F60CC" w:rsidRDefault="008F60CC" w:rsidP="008F60CC">
      <w:pPr>
        <w:spacing w:after="0" w:line="240" w:lineRule="auto"/>
        <w:rPr>
          <w:sz w:val="24"/>
          <w:szCs w:val="24"/>
          <w:lang w:val="el-GR"/>
        </w:rPr>
      </w:pPr>
      <w:r>
        <w:rPr>
          <w:sz w:val="24"/>
          <w:szCs w:val="24"/>
          <w:lang w:val="el-GR"/>
        </w:rPr>
        <w:br w:type="page"/>
      </w:r>
    </w:p>
    <w:p w14:paraId="12D4471B" w14:textId="77777777" w:rsidR="008F60CC" w:rsidRPr="008F60CC" w:rsidRDefault="008F60CC" w:rsidP="008F60CC">
      <w:pPr>
        <w:jc w:val="both"/>
        <w:rPr>
          <w:rFonts w:ascii="Constantia" w:hAnsi="Constantia"/>
          <w:sz w:val="24"/>
          <w:szCs w:val="24"/>
          <w:lang w:val="el-GR"/>
        </w:rPr>
      </w:pPr>
      <w:r w:rsidRPr="008F60CC">
        <w:rPr>
          <w:rFonts w:ascii="Constantia" w:hAnsi="Constantia"/>
          <w:sz w:val="24"/>
          <w:szCs w:val="24"/>
          <w:lang w:val="el-GR"/>
        </w:rPr>
        <w:lastRenderedPageBreak/>
        <w:t xml:space="preserve">Συγκρίνοντας τις δαπάνες για κοινωνικές παροχές προς τα άτομα με αναπηρία στην Ελλάδα και στις υπόλοιπες ευρωπαϊκές χώρες, διαπιστώνεται ότι η χώρα υπολείπεται σοβαρά ως προς το επίπεδο των παροχών για την αναπηρία. Στην Ελλάδα, οι δαπάνες για την αναπηρία ως ποσοστό της συνολικής δαπάνης για την κοινωνική προστασία ήταν το 2022 στο 3,8%, </w:t>
      </w:r>
      <w:bookmarkStart w:id="35" w:name="_Hlk201563686"/>
      <w:r w:rsidRPr="008F60CC">
        <w:rPr>
          <w:rFonts w:ascii="Constantia" w:hAnsi="Constantia"/>
          <w:sz w:val="24"/>
          <w:szCs w:val="24"/>
          <w:lang w:val="el-GR"/>
        </w:rPr>
        <w:t xml:space="preserve">όταν η μέσος όρος της Ε.Ε.-27 ανερχόταν στο 7% (βλ. </w:t>
      </w:r>
      <w:r w:rsidRPr="008F60CC">
        <w:rPr>
          <w:rFonts w:ascii="Constantia" w:hAnsi="Constantia"/>
          <w:color w:val="1C6194" w:themeColor="accent2" w:themeShade="BF"/>
          <w:sz w:val="24"/>
          <w:szCs w:val="24"/>
          <w:lang w:val="el-GR"/>
        </w:rPr>
        <w:fldChar w:fldCharType="begin"/>
      </w:r>
      <w:r w:rsidRPr="008F60CC">
        <w:rPr>
          <w:rFonts w:ascii="Constantia" w:hAnsi="Constantia"/>
          <w:color w:val="1C6194" w:themeColor="accent2" w:themeShade="BF"/>
          <w:sz w:val="24"/>
          <w:szCs w:val="24"/>
          <w:lang w:val="el-GR"/>
        </w:rPr>
        <w:instrText xml:space="preserve"> REF _Ref202283841 \h  \* MERGEFORMAT </w:instrText>
      </w:r>
      <w:r w:rsidRPr="008F60CC">
        <w:rPr>
          <w:rFonts w:ascii="Constantia" w:hAnsi="Constantia"/>
          <w:color w:val="1C6194" w:themeColor="accent2" w:themeShade="BF"/>
          <w:sz w:val="24"/>
          <w:szCs w:val="24"/>
          <w:lang w:val="el-GR"/>
        </w:rPr>
      </w:r>
      <w:r w:rsidRPr="008F60CC">
        <w:rPr>
          <w:rFonts w:ascii="Constantia" w:hAnsi="Constantia"/>
          <w:color w:val="1C6194" w:themeColor="accent2" w:themeShade="BF"/>
          <w:sz w:val="24"/>
          <w:szCs w:val="24"/>
          <w:lang w:val="el-GR"/>
        </w:rPr>
        <w:fldChar w:fldCharType="separate"/>
      </w:r>
      <w:r w:rsidRPr="008F60CC">
        <w:rPr>
          <w:rFonts w:ascii="Constantia" w:hAnsi="Constantia" w:cstheme="majorHAnsi"/>
          <w:color w:val="1C6194" w:themeColor="accent2" w:themeShade="BF"/>
          <w:sz w:val="24"/>
          <w:szCs w:val="24"/>
          <w:lang w:val="el-GR"/>
        </w:rPr>
        <w:t>Γράφημα 6</w:t>
      </w:r>
      <w:r w:rsidRPr="008F60CC">
        <w:rPr>
          <w:rFonts w:ascii="Constantia" w:hAnsi="Constantia"/>
          <w:color w:val="1C6194" w:themeColor="accent2" w:themeShade="BF"/>
          <w:sz w:val="24"/>
          <w:szCs w:val="24"/>
          <w:lang w:val="el-GR"/>
        </w:rPr>
        <w:fldChar w:fldCharType="end"/>
      </w:r>
      <w:r w:rsidRPr="008F60CC">
        <w:rPr>
          <w:rFonts w:ascii="Constantia" w:hAnsi="Constantia"/>
          <w:sz w:val="24"/>
          <w:szCs w:val="24"/>
          <w:lang w:val="el-GR"/>
        </w:rPr>
        <w:t>). Ειδικότερα, στον εν λόγω δείκτη, η Ελλάδα έρχεται δεύτερη από το τέλος με οριακά μεγαλύτερο ποσοστό από την Κύπρο.</w:t>
      </w:r>
    </w:p>
    <w:p w14:paraId="74B8A302" w14:textId="77777777" w:rsidR="008F60CC" w:rsidRPr="008F60CC" w:rsidRDefault="008F60CC" w:rsidP="008F60CC">
      <w:pPr>
        <w:pStyle w:val="Caption"/>
        <w:spacing w:before="360" w:after="120"/>
        <w:ind w:right="-2"/>
        <w:jc w:val="center"/>
        <w:rPr>
          <w:rFonts w:asciiTheme="majorHAnsi" w:hAnsiTheme="majorHAnsi" w:cstheme="majorHAnsi"/>
          <w:i w:val="0"/>
          <w:iCs w:val="0"/>
          <w:color w:val="1C6194" w:themeColor="accent2" w:themeShade="BF"/>
          <w:sz w:val="24"/>
          <w:szCs w:val="24"/>
          <w:lang w:val="el-GR"/>
        </w:rPr>
      </w:pPr>
      <w:bookmarkStart w:id="36" w:name="_Ref202283841"/>
      <w:bookmarkStart w:id="37" w:name="_Toc201687254"/>
      <w:bookmarkStart w:id="38" w:name="_Toc222493360"/>
      <w:bookmarkEnd w:id="35"/>
      <w:r w:rsidRPr="008F60CC">
        <w:rPr>
          <w:rFonts w:asciiTheme="majorHAnsi" w:hAnsiTheme="majorHAnsi" w:cstheme="majorHAnsi"/>
          <w:b/>
          <w:bCs/>
          <w:i w:val="0"/>
          <w:iCs w:val="0"/>
          <w:color w:val="1C6194" w:themeColor="accent2" w:themeShade="BF"/>
          <w:sz w:val="24"/>
          <w:szCs w:val="24"/>
          <w:lang w:val="el-GR"/>
        </w:rPr>
        <w:t xml:space="preserve">Γράφημα </w:t>
      </w:r>
      <w:r w:rsidRPr="008F60CC">
        <w:rPr>
          <w:rFonts w:asciiTheme="majorHAnsi" w:hAnsiTheme="majorHAnsi" w:cstheme="majorHAnsi"/>
          <w:b/>
          <w:bCs/>
          <w:i w:val="0"/>
          <w:iCs w:val="0"/>
          <w:color w:val="1C6194" w:themeColor="accent2" w:themeShade="BF"/>
          <w:sz w:val="24"/>
          <w:szCs w:val="24"/>
          <w:lang w:val="el-GR"/>
        </w:rPr>
        <w:fldChar w:fldCharType="begin"/>
      </w:r>
      <w:r w:rsidRPr="008F60CC">
        <w:rPr>
          <w:rFonts w:asciiTheme="majorHAnsi" w:hAnsiTheme="majorHAnsi" w:cstheme="majorHAnsi"/>
          <w:b/>
          <w:bCs/>
          <w:i w:val="0"/>
          <w:iCs w:val="0"/>
          <w:color w:val="1C6194" w:themeColor="accent2" w:themeShade="BF"/>
          <w:sz w:val="24"/>
          <w:szCs w:val="24"/>
          <w:lang w:val="el-GR"/>
        </w:rPr>
        <w:instrText xml:space="preserve"> SEQ Γράφημα \* ARABIC </w:instrText>
      </w:r>
      <w:r w:rsidRPr="008F60CC">
        <w:rPr>
          <w:rFonts w:asciiTheme="majorHAnsi" w:hAnsiTheme="majorHAnsi" w:cstheme="majorHAnsi"/>
          <w:b/>
          <w:bCs/>
          <w:i w:val="0"/>
          <w:iCs w:val="0"/>
          <w:color w:val="1C6194" w:themeColor="accent2" w:themeShade="BF"/>
          <w:sz w:val="24"/>
          <w:szCs w:val="24"/>
          <w:lang w:val="el-GR"/>
        </w:rPr>
        <w:fldChar w:fldCharType="separate"/>
      </w:r>
      <w:r w:rsidRPr="008F60CC">
        <w:rPr>
          <w:rFonts w:asciiTheme="majorHAnsi" w:hAnsiTheme="majorHAnsi" w:cstheme="majorHAnsi"/>
          <w:b/>
          <w:bCs/>
          <w:i w:val="0"/>
          <w:iCs w:val="0"/>
          <w:color w:val="1C6194" w:themeColor="accent2" w:themeShade="BF"/>
          <w:sz w:val="24"/>
          <w:szCs w:val="24"/>
          <w:lang w:val="el-GR"/>
        </w:rPr>
        <w:t>6</w:t>
      </w:r>
      <w:r w:rsidRPr="008F60CC">
        <w:rPr>
          <w:rFonts w:asciiTheme="majorHAnsi" w:hAnsiTheme="majorHAnsi" w:cstheme="majorHAnsi"/>
          <w:b/>
          <w:bCs/>
          <w:i w:val="0"/>
          <w:iCs w:val="0"/>
          <w:color w:val="1C6194" w:themeColor="accent2" w:themeShade="BF"/>
          <w:sz w:val="24"/>
          <w:szCs w:val="24"/>
          <w:lang w:val="el-GR"/>
        </w:rPr>
        <w:fldChar w:fldCharType="end"/>
      </w:r>
      <w:bookmarkEnd w:id="36"/>
      <w:r w:rsidRPr="008F60CC">
        <w:rPr>
          <w:rFonts w:asciiTheme="majorHAnsi" w:hAnsiTheme="majorHAnsi" w:cstheme="majorHAnsi"/>
          <w:i w:val="0"/>
          <w:iCs w:val="0"/>
          <w:color w:val="1C6194" w:themeColor="accent2" w:themeShade="BF"/>
          <w:sz w:val="24"/>
          <w:szCs w:val="24"/>
          <w:lang w:val="el-GR"/>
        </w:rPr>
        <w:t>: Παροχές για την «Αναπηρία» ως ποσοστό του συνόλου των παροχών κοινωνικής προστασίας στην Ε.Ε. (2022)</w:t>
      </w:r>
      <w:bookmarkEnd w:id="37"/>
      <w:bookmarkEnd w:id="38"/>
    </w:p>
    <w:p w14:paraId="6A527983" w14:textId="77777777" w:rsidR="008F60CC" w:rsidRPr="005F7C51" w:rsidRDefault="008F60CC" w:rsidP="008F60CC">
      <w:pPr>
        <w:rPr>
          <w:b/>
          <w:iCs/>
          <w:highlight w:val="green"/>
          <w:lang w:val="el-GR"/>
        </w:rPr>
      </w:pPr>
      <w:r w:rsidRPr="005F7C51">
        <w:rPr>
          <w:noProof/>
          <w:shd w:val="clear" w:color="auto" w:fill="7F7F7F" w:themeFill="text1" w:themeFillTint="80"/>
          <w:lang w:val="el-GR" w:eastAsia="el-GR"/>
        </w:rPr>
        <w:drawing>
          <wp:inline distT="0" distB="0" distL="0" distR="0" wp14:anchorId="1F3B7E13" wp14:editId="48607166">
            <wp:extent cx="5579745" cy="5769204"/>
            <wp:effectExtent l="0" t="0" r="1905" b="3175"/>
            <wp:docPr id="1151508064" name="Chart 1" descr="Δανία: 17,4&#10;Λουξεμβούργο: 11,18&#10;Εσθονία: 10,57&#10;Βέλγιο: 9,81&#10;Βουλγαρία: 9,31&#10;Φιλανδία: 8,95&#10;Σουηδία: 8,81&#10;Κροατία: 8,72&#10;Ολλανδία: 8,64&#10;Λετονία: 8,5&#10;Λιθουανία: 8,01&#10;Σλοβακία: 7,48&#10;Γερμανία: 7,14&#10;ΕΕ (27): 6,96&#10;Πορτογαλία: 6,69&#10;Γαλλία: 6,32&#10;Ισπανία: 6,3&#10;Τσεχία: 5,92&#10;Ιρλανδία: 5,47&#10;Αυστρία: 5,32&#10;Σλοβενία: 5,31&#10;Ιταλία: 5,3&#10;Ουγγαρία: 5,02&#10;Ρουμανία: 4,94&#10;Πολωνία: 4,67&#10;Μάλτα: 3,96&#10;Ελλάδα: 3,83&#10;Κύπρος: 3,52">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90C851B" w14:textId="77777777" w:rsidR="008F60CC" w:rsidRPr="008F60CC" w:rsidRDefault="008F60CC" w:rsidP="008F60CC">
      <w:pPr>
        <w:pStyle w:val="Caption"/>
        <w:spacing w:before="120" w:after="240"/>
        <w:jc w:val="center"/>
        <w:rPr>
          <w:rFonts w:asciiTheme="majorHAnsi" w:hAnsiTheme="majorHAnsi" w:cstheme="majorHAnsi"/>
          <w:color w:val="1C6194" w:themeColor="accent2" w:themeShade="BF"/>
        </w:rPr>
      </w:pPr>
      <w:r w:rsidRPr="008F60CC">
        <w:rPr>
          <w:rFonts w:asciiTheme="majorHAnsi" w:hAnsiTheme="majorHAnsi" w:cstheme="majorHAnsi"/>
          <w:b/>
          <w:bCs/>
          <w:color w:val="1C6194" w:themeColor="accent2" w:themeShade="BF"/>
          <w:lang w:val="el-GR"/>
        </w:rPr>
        <w:t>Πηγή</w:t>
      </w:r>
      <w:r w:rsidRPr="008F60CC">
        <w:rPr>
          <w:rFonts w:asciiTheme="majorHAnsi" w:hAnsiTheme="majorHAnsi" w:cstheme="majorHAnsi"/>
          <w:color w:val="1C6194" w:themeColor="accent2" w:themeShade="BF"/>
        </w:rPr>
        <w:t>: Eurostat, European System of Integrated Social Protection Statistics/ESSPROS (2022)</w:t>
      </w:r>
      <w:r w:rsidRPr="008F60CC">
        <w:rPr>
          <w:rFonts w:asciiTheme="majorHAnsi" w:hAnsiTheme="majorHAnsi" w:cstheme="majorHAnsi"/>
          <w:color w:val="1C6194" w:themeColor="accent2" w:themeShade="BF"/>
        </w:rPr>
        <w:br/>
      </w:r>
      <w:r w:rsidRPr="008F60CC">
        <w:rPr>
          <w:rFonts w:asciiTheme="majorHAnsi" w:hAnsiTheme="majorHAnsi" w:cstheme="majorHAnsi"/>
          <w:b/>
          <w:bCs/>
          <w:color w:val="1C6194" w:themeColor="accent2" w:themeShade="BF"/>
          <w:lang w:val="el-GR"/>
        </w:rPr>
        <w:t>Επεξεργασία</w:t>
      </w:r>
      <w:r w:rsidRPr="008F60CC">
        <w:rPr>
          <w:rFonts w:asciiTheme="majorHAnsi" w:hAnsiTheme="majorHAnsi" w:cstheme="majorHAnsi"/>
          <w:color w:val="1C6194" w:themeColor="accent2" w:themeShade="BF"/>
        </w:rPr>
        <w:t xml:space="preserve">: </w:t>
      </w:r>
      <w:r w:rsidRPr="008F60CC">
        <w:rPr>
          <w:rFonts w:asciiTheme="majorHAnsi" w:hAnsiTheme="majorHAnsi" w:cstheme="majorHAnsi"/>
          <w:color w:val="1C6194" w:themeColor="accent2" w:themeShade="BF"/>
          <w:lang w:val="el-GR"/>
        </w:rPr>
        <w:t>Παρατηρητήριο</w:t>
      </w:r>
      <w:r w:rsidRPr="008F60CC">
        <w:rPr>
          <w:rFonts w:asciiTheme="majorHAnsi" w:hAnsiTheme="majorHAnsi" w:cstheme="majorHAnsi"/>
          <w:color w:val="1C6194" w:themeColor="accent2" w:themeShade="BF"/>
        </w:rPr>
        <w:t xml:space="preserve"> </w:t>
      </w:r>
      <w:r w:rsidRPr="008F60CC">
        <w:rPr>
          <w:rFonts w:asciiTheme="majorHAnsi" w:hAnsiTheme="majorHAnsi" w:cstheme="majorHAnsi"/>
          <w:color w:val="1C6194" w:themeColor="accent2" w:themeShade="BF"/>
          <w:lang w:val="el-GR"/>
        </w:rPr>
        <w:t>Θεμάτων</w:t>
      </w:r>
      <w:r w:rsidRPr="008F60CC">
        <w:rPr>
          <w:rFonts w:asciiTheme="majorHAnsi" w:hAnsiTheme="majorHAnsi" w:cstheme="majorHAnsi"/>
          <w:color w:val="1C6194" w:themeColor="accent2" w:themeShade="BF"/>
        </w:rPr>
        <w:t xml:space="preserve"> </w:t>
      </w:r>
      <w:r w:rsidRPr="008F60CC">
        <w:rPr>
          <w:rFonts w:asciiTheme="majorHAnsi" w:hAnsiTheme="majorHAnsi" w:cstheme="majorHAnsi"/>
          <w:color w:val="1C6194" w:themeColor="accent2" w:themeShade="BF"/>
          <w:lang w:val="el-GR"/>
        </w:rPr>
        <w:t>Αναπηρίας</w:t>
      </w:r>
      <w:r w:rsidRPr="008F60CC">
        <w:rPr>
          <w:rFonts w:asciiTheme="majorHAnsi" w:hAnsiTheme="majorHAnsi" w:cstheme="majorHAnsi"/>
          <w:color w:val="1C6194" w:themeColor="accent2" w:themeShade="BF"/>
        </w:rPr>
        <w:t xml:space="preserve">- </w:t>
      </w:r>
      <w:r w:rsidRPr="008F60CC">
        <w:rPr>
          <w:rFonts w:asciiTheme="majorHAnsi" w:hAnsiTheme="majorHAnsi" w:cstheme="majorHAnsi"/>
          <w:color w:val="1C6194" w:themeColor="accent2" w:themeShade="BF"/>
          <w:lang w:val="el-GR"/>
        </w:rPr>
        <w:t>Ε</w:t>
      </w:r>
      <w:r w:rsidRPr="008F60CC">
        <w:rPr>
          <w:rFonts w:asciiTheme="majorHAnsi" w:hAnsiTheme="majorHAnsi" w:cstheme="majorHAnsi"/>
          <w:color w:val="1C6194" w:themeColor="accent2" w:themeShade="BF"/>
        </w:rPr>
        <w:t>.</w:t>
      </w:r>
      <w:r w:rsidRPr="008F60CC">
        <w:rPr>
          <w:rFonts w:asciiTheme="majorHAnsi" w:hAnsiTheme="majorHAnsi" w:cstheme="majorHAnsi"/>
          <w:color w:val="1C6194" w:themeColor="accent2" w:themeShade="BF"/>
          <w:lang w:val="el-GR"/>
        </w:rPr>
        <w:t>Σ</w:t>
      </w:r>
      <w:r w:rsidRPr="008F60CC">
        <w:rPr>
          <w:rFonts w:asciiTheme="majorHAnsi" w:hAnsiTheme="majorHAnsi" w:cstheme="majorHAnsi"/>
          <w:color w:val="1C6194" w:themeColor="accent2" w:themeShade="BF"/>
        </w:rPr>
        <w:t>.</w:t>
      </w:r>
      <w:r w:rsidRPr="008F60CC">
        <w:rPr>
          <w:rFonts w:asciiTheme="majorHAnsi" w:hAnsiTheme="majorHAnsi" w:cstheme="majorHAnsi"/>
          <w:color w:val="1C6194" w:themeColor="accent2" w:themeShade="BF"/>
          <w:lang w:val="el-GR"/>
        </w:rPr>
        <w:t>Α</w:t>
      </w:r>
      <w:r w:rsidRPr="008F60CC">
        <w:rPr>
          <w:rFonts w:asciiTheme="majorHAnsi" w:hAnsiTheme="majorHAnsi" w:cstheme="majorHAnsi"/>
          <w:color w:val="1C6194" w:themeColor="accent2" w:themeShade="BF"/>
        </w:rPr>
        <w:t>.</w:t>
      </w:r>
      <w:proofErr w:type="spellStart"/>
      <w:r w:rsidRPr="008F60CC">
        <w:rPr>
          <w:rFonts w:asciiTheme="majorHAnsi" w:hAnsiTheme="majorHAnsi" w:cstheme="majorHAnsi"/>
          <w:color w:val="1C6194" w:themeColor="accent2" w:themeShade="BF"/>
          <w:lang w:val="el-GR"/>
        </w:rPr>
        <w:t>μεΑ</w:t>
      </w:r>
      <w:proofErr w:type="spellEnd"/>
      <w:r w:rsidRPr="008F60CC">
        <w:rPr>
          <w:rFonts w:asciiTheme="majorHAnsi" w:hAnsiTheme="majorHAnsi" w:cstheme="majorHAnsi"/>
          <w:color w:val="1C6194" w:themeColor="accent2" w:themeShade="BF"/>
        </w:rPr>
        <w:t>.</w:t>
      </w:r>
    </w:p>
    <w:p w14:paraId="705B59F0" w14:textId="784A00C4" w:rsidR="008F60CC" w:rsidRPr="008F60CC" w:rsidRDefault="008F60CC" w:rsidP="008F60CC">
      <w:pPr>
        <w:jc w:val="both"/>
        <w:rPr>
          <w:rFonts w:ascii="Constantia" w:hAnsi="Constantia"/>
          <w:lang w:val="el-GR"/>
        </w:rPr>
      </w:pPr>
      <w:bookmarkStart w:id="39" w:name="_Hlk201563734"/>
      <w:r w:rsidRPr="008F60CC">
        <w:rPr>
          <w:rFonts w:ascii="Constantia" w:hAnsi="Constantia"/>
          <w:lang w:val="el-GR"/>
        </w:rPr>
        <w:lastRenderedPageBreak/>
        <w:t>Η εξέταση του δείκτη «</w:t>
      </w:r>
      <w:r w:rsidRPr="008F60CC">
        <w:rPr>
          <w:rFonts w:ascii="Constantia" w:hAnsi="Constantia"/>
          <w:i/>
          <w:lang w:val="el-GR"/>
        </w:rPr>
        <w:t>Κατά κεφαλήν δαπάνη για παροχές κοινωνικής προστασίας για την αναπηρία σε μονάδες αγοραστικής δύναμης</w:t>
      </w:r>
      <w:r w:rsidRPr="008F60CC">
        <w:rPr>
          <w:rFonts w:ascii="Constantia" w:hAnsi="Constantia"/>
          <w:lang w:val="el-GR"/>
        </w:rPr>
        <w:t>» επιβεβαιώνει επίσης τη γενική εικόνα, αφού στην Ελλάδα η δαπάνη για την προστασία την αναπηρίας βρίσκεται στο ιδιαίτερα χαμηλό επίπεδο των 215,81 (ΜΑΔ) ανά κάτοικο, που αντιστοιχεί σε λιγότερο από το 1/3 της ευρωπαϊκής δαπάνης (ΕΕ-27: 672,44).</w:t>
      </w:r>
    </w:p>
    <w:p w14:paraId="7B963336" w14:textId="77777777" w:rsidR="008F60CC" w:rsidRPr="008F60CC" w:rsidRDefault="008F60CC" w:rsidP="008F60CC">
      <w:pPr>
        <w:pStyle w:val="Caption"/>
        <w:spacing w:before="360" w:after="240"/>
        <w:jc w:val="center"/>
        <w:rPr>
          <w:i w:val="0"/>
          <w:iCs w:val="0"/>
          <w:noProof/>
          <w:color w:val="1C6194" w:themeColor="accent2" w:themeShade="BF"/>
          <w:lang w:val="el-GR" w:eastAsia="el-GR"/>
        </w:rPr>
      </w:pPr>
      <w:bookmarkStart w:id="40" w:name="_Toc201687255"/>
      <w:bookmarkStart w:id="41" w:name="_Toc222493361"/>
      <w:bookmarkEnd w:id="39"/>
      <w:r w:rsidRPr="008F60CC">
        <w:rPr>
          <w:rFonts w:asciiTheme="majorHAnsi" w:hAnsiTheme="majorHAnsi" w:cstheme="majorHAnsi"/>
          <w:b/>
          <w:bCs/>
          <w:i w:val="0"/>
          <w:iCs w:val="0"/>
          <w:color w:val="1C6194" w:themeColor="accent2" w:themeShade="BF"/>
          <w:sz w:val="24"/>
          <w:szCs w:val="24"/>
          <w:lang w:val="el-GR"/>
        </w:rPr>
        <w:t xml:space="preserve">Γράφημα </w:t>
      </w:r>
      <w:r w:rsidRPr="008F60CC">
        <w:rPr>
          <w:rFonts w:asciiTheme="majorHAnsi" w:hAnsiTheme="majorHAnsi" w:cstheme="majorHAnsi"/>
          <w:b/>
          <w:bCs/>
          <w:i w:val="0"/>
          <w:iCs w:val="0"/>
          <w:color w:val="1C6194" w:themeColor="accent2" w:themeShade="BF"/>
          <w:sz w:val="24"/>
          <w:szCs w:val="24"/>
          <w:lang w:val="el-GR"/>
        </w:rPr>
        <w:fldChar w:fldCharType="begin"/>
      </w:r>
      <w:r w:rsidRPr="008F60CC">
        <w:rPr>
          <w:rFonts w:asciiTheme="majorHAnsi" w:hAnsiTheme="majorHAnsi" w:cstheme="majorHAnsi"/>
          <w:b/>
          <w:bCs/>
          <w:i w:val="0"/>
          <w:iCs w:val="0"/>
          <w:color w:val="1C6194" w:themeColor="accent2" w:themeShade="BF"/>
          <w:sz w:val="24"/>
          <w:szCs w:val="24"/>
          <w:lang w:val="el-GR"/>
        </w:rPr>
        <w:instrText xml:space="preserve"> SEQ Γράφημα \* ARABIC </w:instrText>
      </w:r>
      <w:r w:rsidRPr="008F60CC">
        <w:rPr>
          <w:rFonts w:asciiTheme="majorHAnsi" w:hAnsiTheme="majorHAnsi" w:cstheme="majorHAnsi"/>
          <w:b/>
          <w:bCs/>
          <w:i w:val="0"/>
          <w:iCs w:val="0"/>
          <w:color w:val="1C6194" w:themeColor="accent2" w:themeShade="BF"/>
          <w:sz w:val="24"/>
          <w:szCs w:val="24"/>
          <w:lang w:val="el-GR"/>
        </w:rPr>
        <w:fldChar w:fldCharType="separate"/>
      </w:r>
      <w:r w:rsidRPr="008F60CC">
        <w:rPr>
          <w:rFonts w:asciiTheme="majorHAnsi" w:hAnsiTheme="majorHAnsi" w:cstheme="majorHAnsi"/>
          <w:b/>
          <w:bCs/>
          <w:i w:val="0"/>
          <w:iCs w:val="0"/>
          <w:color w:val="1C6194" w:themeColor="accent2" w:themeShade="BF"/>
          <w:sz w:val="24"/>
          <w:szCs w:val="24"/>
          <w:lang w:val="el-GR"/>
        </w:rPr>
        <w:t>7</w:t>
      </w:r>
      <w:r w:rsidRPr="008F60CC">
        <w:rPr>
          <w:rFonts w:asciiTheme="majorHAnsi" w:hAnsiTheme="majorHAnsi" w:cstheme="majorHAnsi"/>
          <w:b/>
          <w:bCs/>
          <w:i w:val="0"/>
          <w:iCs w:val="0"/>
          <w:color w:val="1C6194" w:themeColor="accent2" w:themeShade="BF"/>
          <w:sz w:val="24"/>
          <w:szCs w:val="24"/>
          <w:lang w:val="el-GR"/>
        </w:rPr>
        <w:fldChar w:fldCharType="end"/>
      </w:r>
      <w:r w:rsidRPr="008F60CC">
        <w:rPr>
          <w:rFonts w:asciiTheme="majorHAnsi" w:hAnsiTheme="majorHAnsi" w:cstheme="majorHAnsi"/>
          <w:i w:val="0"/>
          <w:iCs w:val="0"/>
          <w:color w:val="1C6194" w:themeColor="accent2" w:themeShade="BF"/>
          <w:sz w:val="24"/>
          <w:szCs w:val="24"/>
          <w:lang w:val="el-GR"/>
        </w:rPr>
        <w:t>: Κατά κεφαλήν δαπάνη για παροχές κοινωνικής προστασίας για την αναπηρία σε μονάδες αγοραστικής δύναμης (</w:t>
      </w:r>
      <w:r w:rsidRPr="008F60CC">
        <w:rPr>
          <w:rFonts w:asciiTheme="majorHAnsi" w:hAnsiTheme="majorHAnsi" w:cstheme="majorHAnsi"/>
          <w:i w:val="0"/>
          <w:iCs w:val="0"/>
          <w:color w:val="1C6194" w:themeColor="accent2" w:themeShade="BF"/>
          <w:sz w:val="24"/>
          <w:szCs w:val="24"/>
          <w:lang w:val="en-GB"/>
        </w:rPr>
        <w:t>Purchasing</w:t>
      </w:r>
      <w:r w:rsidRPr="008F60CC">
        <w:rPr>
          <w:rFonts w:asciiTheme="majorHAnsi" w:hAnsiTheme="majorHAnsi" w:cstheme="majorHAnsi"/>
          <w:i w:val="0"/>
          <w:iCs w:val="0"/>
          <w:color w:val="1C6194" w:themeColor="accent2" w:themeShade="BF"/>
          <w:sz w:val="24"/>
          <w:szCs w:val="24"/>
          <w:lang w:val="el-GR"/>
        </w:rPr>
        <w:t xml:space="preserve"> </w:t>
      </w:r>
      <w:r w:rsidRPr="008F60CC">
        <w:rPr>
          <w:rFonts w:asciiTheme="majorHAnsi" w:hAnsiTheme="majorHAnsi" w:cstheme="majorHAnsi"/>
          <w:i w:val="0"/>
          <w:iCs w:val="0"/>
          <w:color w:val="1C6194" w:themeColor="accent2" w:themeShade="BF"/>
          <w:sz w:val="24"/>
          <w:szCs w:val="24"/>
          <w:lang w:val="en-GB"/>
        </w:rPr>
        <w:t>Power</w:t>
      </w:r>
      <w:r w:rsidRPr="008F60CC">
        <w:rPr>
          <w:rFonts w:asciiTheme="majorHAnsi" w:hAnsiTheme="majorHAnsi" w:cstheme="majorHAnsi"/>
          <w:i w:val="0"/>
          <w:iCs w:val="0"/>
          <w:color w:val="1C6194" w:themeColor="accent2" w:themeShade="BF"/>
          <w:sz w:val="24"/>
          <w:szCs w:val="24"/>
          <w:lang w:val="el-GR"/>
        </w:rPr>
        <w:t xml:space="preserve"> </w:t>
      </w:r>
      <w:r w:rsidRPr="008F60CC">
        <w:rPr>
          <w:rFonts w:asciiTheme="majorHAnsi" w:hAnsiTheme="majorHAnsi" w:cstheme="majorHAnsi"/>
          <w:i w:val="0"/>
          <w:iCs w:val="0"/>
          <w:color w:val="1C6194" w:themeColor="accent2" w:themeShade="BF"/>
          <w:sz w:val="24"/>
          <w:szCs w:val="24"/>
          <w:lang w:val="en-GB"/>
        </w:rPr>
        <w:t>Standard</w:t>
      </w:r>
      <w:r w:rsidRPr="008F60CC">
        <w:rPr>
          <w:rFonts w:asciiTheme="majorHAnsi" w:hAnsiTheme="majorHAnsi" w:cstheme="majorHAnsi"/>
          <w:i w:val="0"/>
          <w:iCs w:val="0"/>
          <w:color w:val="1C6194" w:themeColor="accent2" w:themeShade="BF"/>
          <w:sz w:val="24"/>
          <w:szCs w:val="24"/>
          <w:lang w:val="el-GR"/>
        </w:rPr>
        <w:t>) για το έτος 2022</w:t>
      </w:r>
      <w:bookmarkEnd w:id="40"/>
      <w:bookmarkEnd w:id="41"/>
    </w:p>
    <w:p w14:paraId="4C379587" w14:textId="77777777" w:rsidR="008F60CC" w:rsidRPr="005F7C51" w:rsidRDefault="008F60CC" w:rsidP="008F60CC">
      <w:pPr>
        <w:rPr>
          <w:lang w:val="el-GR" w:eastAsia="el-GR"/>
        </w:rPr>
      </w:pPr>
      <w:r>
        <w:rPr>
          <w:noProof/>
          <w:lang w:val="el-GR" w:eastAsia="el-GR"/>
        </w:rPr>
        <w:drawing>
          <wp:inline distT="0" distB="0" distL="0" distR="0" wp14:anchorId="36EB2F5F" wp14:editId="778516C4">
            <wp:extent cx="5579745" cy="6136850"/>
            <wp:effectExtent l="0" t="0" r="1905" b="0"/>
            <wp:docPr id="1547460677" name="Chart 1" descr="Δανία: 2.062,6&#10;Λουξεμβούργο: 1.873,62&#10;Βέλγιο: 1.075,66&#10;Ολλανδία: 1.030,28&#10;Φινλανδία: 983,7&#10;Σουηδία: 950,44&#10;Γερμανία: 896,48&#10;Γαλλία: 718,75&#10;Αυστρία: 678,76&#10;ΕΕ (27): 672,44&#10;Ιταλία: 515,15&#10;Ισπανία: 492,28&#10;Εσθονία: 467,31&#10;Κροατία: 458,52&#10;Πορτογαλία: 432,61&#10;Ιρλανδία: 421,69&#10;Λιθουανία: 415,85&#10;Βουλγαρία: 411,57&#10;Λετονία: 396,53&#10;Σλοβενία: 389,89&#10;Τσεχία: 373,16&#10;Σλοβακία: 339,17&#10;Πολωνία: 292,31&#10;Ουγγαρία: 233,55&#10;Κύπρος: 223,21&#10;Ρουμανία: 222,77&#10;Ελλάδα: 215,81&#10;Μάλτα: 209,3">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B704013" w14:textId="77777777" w:rsidR="008F60CC" w:rsidRPr="008F60CC" w:rsidRDefault="008F60CC" w:rsidP="008F60CC">
      <w:pPr>
        <w:pStyle w:val="Caption"/>
        <w:spacing w:before="120" w:after="240"/>
        <w:jc w:val="center"/>
        <w:rPr>
          <w:rFonts w:asciiTheme="majorHAnsi" w:hAnsiTheme="majorHAnsi" w:cstheme="majorHAnsi"/>
          <w:color w:val="1C6194" w:themeColor="accent2" w:themeShade="BF"/>
        </w:rPr>
      </w:pPr>
      <w:r w:rsidRPr="008F60CC">
        <w:rPr>
          <w:rFonts w:asciiTheme="majorHAnsi" w:hAnsiTheme="majorHAnsi" w:cstheme="majorHAnsi"/>
          <w:b/>
          <w:bCs/>
          <w:color w:val="1C6194" w:themeColor="accent2" w:themeShade="BF"/>
          <w:lang w:val="el-GR"/>
        </w:rPr>
        <w:t>Πηγή</w:t>
      </w:r>
      <w:r w:rsidRPr="008F60CC">
        <w:rPr>
          <w:rFonts w:asciiTheme="majorHAnsi" w:hAnsiTheme="majorHAnsi" w:cstheme="majorHAnsi"/>
          <w:color w:val="1C6194" w:themeColor="accent2" w:themeShade="BF"/>
        </w:rPr>
        <w:t>: Eurostat, European System of Integrated Social Protection Statistics/ESSPROS (2022)</w:t>
      </w:r>
      <w:r w:rsidRPr="008F60CC">
        <w:rPr>
          <w:rFonts w:asciiTheme="majorHAnsi" w:hAnsiTheme="majorHAnsi" w:cstheme="majorHAnsi"/>
          <w:color w:val="1C6194" w:themeColor="accent2" w:themeShade="BF"/>
        </w:rPr>
        <w:br/>
      </w:r>
      <w:r w:rsidRPr="008F60CC">
        <w:rPr>
          <w:rFonts w:asciiTheme="majorHAnsi" w:hAnsiTheme="majorHAnsi" w:cstheme="majorHAnsi"/>
          <w:b/>
          <w:bCs/>
          <w:color w:val="1C6194" w:themeColor="accent2" w:themeShade="BF"/>
          <w:lang w:val="el-GR"/>
        </w:rPr>
        <w:t>Επεξεργασία</w:t>
      </w:r>
      <w:r w:rsidRPr="008F60CC">
        <w:rPr>
          <w:rFonts w:asciiTheme="majorHAnsi" w:hAnsiTheme="majorHAnsi" w:cstheme="majorHAnsi"/>
          <w:color w:val="1C6194" w:themeColor="accent2" w:themeShade="BF"/>
        </w:rPr>
        <w:t xml:space="preserve">: </w:t>
      </w:r>
      <w:r w:rsidRPr="008F60CC">
        <w:rPr>
          <w:rFonts w:asciiTheme="majorHAnsi" w:hAnsiTheme="majorHAnsi" w:cstheme="majorHAnsi"/>
          <w:color w:val="1C6194" w:themeColor="accent2" w:themeShade="BF"/>
          <w:lang w:val="el-GR"/>
        </w:rPr>
        <w:t>Παρατηρητήριο</w:t>
      </w:r>
      <w:r w:rsidRPr="008F60CC">
        <w:rPr>
          <w:rFonts w:asciiTheme="majorHAnsi" w:hAnsiTheme="majorHAnsi" w:cstheme="majorHAnsi"/>
          <w:color w:val="1C6194" w:themeColor="accent2" w:themeShade="BF"/>
        </w:rPr>
        <w:t xml:space="preserve"> </w:t>
      </w:r>
      <w:r w:rsidRPr="008F60CC">
        <w:rPr>
          <w:rFonts w:asciiTheme="majorHAnsi" w:hAnsiTheme="majorHAnsi" w:cstheme="majorHAnsi"/>
          <w:color w:val="1C6194" w:themeColor="accent2" w:themeShade="BF"/>
          <w:lang w:val="el-GR"/>
        </w:rPr>
        <w:t>Θεμάτων</w:t>
      </w:r>
      <w:r w:rsidRPr="008F60CC">
        <w:rPr>
          <w:rFonts w:asciiTheme="majorHAnsi" w:hAnsiTheme="majorHAnsi" w:cstheme="majorHAnsi"/>
          <w:color w:val="1C6194" w:themeColor="accent2" w:themeShade="BF"/>
        </w:rPr>
        <w:t xml:space="preserve"> </w:t>
      </w:r>
      <w:r w:rsidRPr="008F60CC">
        <w:rPr>
          <w:rFonts w:asciiTheme="majorHAnsi" w:hAnsiTheme="majorHAnsi" w:cstheme="majorHAnsi"/>
          <w:color w:val="1C6194" w:themeColor="accent2" w:themeShade="BF"/>
          <w:lang w:val="el-GR"/>
        </w:rPr>
        <w:t>Αναπηρίας</w:t>
      </w:r>
      <w:r w:rsidRPr="008F60CC">
        <w:rPr>
          <w:rFonts w:asciiTheme="majorHAnsi" w:hAnsiTheme="majorHAnsi" w:cstheme="majorHAnsi"/>
          <w:color w:val="1C6194" w:themeColor="accent2" w:themeShade="BF"/>
        </w:rPr>
        <w:t xml:space="preserve">- </w:t>
      </w:r>
      <w:r w:rsidRPr="008F60CC">
        <w:rPr>
          <w:rFonts w:asciiTheme="majorHAnsi" w:hAnsiTheme="majorHAnsi" w:cstheme="majorHAnsi"/>
          <w:color w:val="1C6194" w:themeColor="accent2" w:themeShade="BF"/>
          <w:lang w:val="el-GR"/>
        </w:rPr>
        <w:t>Ε</w:t>
      </w:r>
      <w:r w:rsidRPr="008F60CC">
        <w:rPr>
          <w:rFonts w:asciiTheme="majorHAnsi" w:hAnsiTheme="majorHAnsi" w:cstheme="majorHAnsi"/>
          <w:color w:val="1C6194" w:themeColor="accent2" w:themeShade="BF"/>
        </w:rPr>
        <w:t>.</w:t>
      </w:r>
      <w:r w:rsidRPr="008F60CC">
        <w:rPr>
          <w:rFonts w:asciiTheme="majorHAnsi" w:hAnsiTheme="majorHAnsi" w:cstheme="majorHAnsi"/>
          <w:color w:val="1C6194" w:themeColor="accent2" w:themeShade="BF"/>
          <w:lang w:val="el-GR"/>
        </w:rPr>
        <w:t>Σ</w:t>
      </w:r>
      <w:r w:rsidRPr="008F60CC">
        <w:rPr>
          <w:rFonts w:asciiTheme="majorHAnsi" w:hAnsiTheme="majorHAnsi" w:cstheme="majorHAnsi"/>
          <w:color w:val="1C6194" w:themeColor="accent2" w:themeShade="BF"/>
        </w:rPr>
        <w:t>.</w:t>
      </w:r>
      <w:r w:rsidRPr="008F60CC">
        <w:rPr>
          <w:rFonts w:asciiTheme="majorHAnsi" w:hAnsiTheme="majorHAnsi" w:cstheme="majorHAnsi"/>
          <w:color w:val="1C6194" w:themeColor="accent2" w:themeShade="BF"/>
          <w:lang w:val="el-GR"/>
        </w:rPr>
        <w:t>Α</w:t>
      </w:r>
      <w:r w:rsidRPr="008F60CC">
        <w:rPr>
          <w:rFonts w:asciiTheme="majorHAnsi" w:hAnsiTheme="majorHAnsi" w:cstheme="majorHAnsi"/>
          <w:color w:val="1C6194" w:themeColor="accent2" w:themeShade="BF"/>
        </w:rPr>
        <w:t>.</w:t>
      </w:r>
      <w:proofErr w:type="spellStart"/>
      <w:r w:rsidRPr="008F60CC">
        <w:rPr>
          <w:rFonts w:asciiTheme="majorHAnsi" w:hAnsiTheme="majorHAnsi" w:cstheme="majorHAnsi"/>
          <w:color w:val="1C6194" w:themeColor="accent2" w:themeShade="BF"/>
          <w:lang w:val="el-GR"/>
        </w:rPr>
        <w:t>μεΑ</w:t>
      </w:r>
      <w:proofErr w:type="spellEnd"/>
      <w:r w:rsidRPr="008F60CC">
        <w:rPr>
          <w:rFonts w:asciiTheme="majorHAnsi" w:hAnsiTheme="majorHAnsi" w:cstheme="majorHAnsi"/>
          <w:color w:val="1C6194" w:themeColor="accent2" w:themeShade="BF"/>
        </w:rPr>
        <w:t>.</w:t>
      </w:r>
    </w:p>
    <w:p w14:paraId="6C56DF2F" w14:textId="1E2BE2F7" w:rsidR="008F60CC" w:rsidRPr="008F60CC" w:rsidRDefault="008F60CC" w:rsidP="008F60CC">
      <w:pPr>
        <w:jc w:val="both"/>
        <w:rPr>
          <w:rFonts w:ascii="Constantia" w:hAnsi="Constantia"/>
          <w:sz w:val="24"/>
          <w:szCs w:val="24"/>
          <w:lang w:val="el-GR"/>
        </w:rPr>
      </w:pPr>
      <w:bookmarkStart w:id="42" w:name="_Hlk201563859"/>
      <w:r w:rsidRPr="008F60CC">
        <w:rPr>
          <w:rFonts w:ascii="Constantia" w:hAnsi="Constantia"/>
          <w:sz w:val="24"/>
          <w:szCs w:val="24"/>
          <w:lang w:val="el-GR"/>
        </w:rPr>
        <w:lastRenderedPageBreak/>
        <w:t>Όπως φαίνεται αναλυτικά στον πίνακα 3, οι δαπάνες κοινωνικής προστασίας για την αναπηρία αφορούν, μέχρι και το έτος 2022, σχεδόν αποκλειστικά σε περιοδικές παροχές σε χρήμα και ειδικότερα, σε συντάξεις αναπηρίας (47% της δαπάνης) και σε αναπηρικά επιδόματα (48,7% της δαπάνης).</w:t>
      </w:r>
      <w:bookmarkStart w:id="43" w:name="_Hlk201563884"/>
      <w:bookmarkEnd w:id="42"/>
      <w:r w:rsidRPr="008F60CC">
        <w:rPr>
          <w:rFonts w:ascii="Constantia" w:hAnsi="Constantia"/>
          <w:sz w:val="24"/>
          <w:szCs w:val="24"/>
          <w:lang w:val="el-GR"/>
        </w:rPr>
        <w:t xml:space="preserve"> Επιβεβαιώνεται δηλαδή ότι, οι παροχές σε επίπεδο υπηρεσιών υποστήριξης είναι ιδιαίτερα περιορισμένες στη χώρα, και η πρόνοια είναι μέχρι και το 2022, σχεδόν ανύπαρκτη σε ότι αφορά ζητήματα στέγασης, βοήθειας σε καθημερινές δραστηριότητες</w:t>
      </w:r>
      <w:r w:rsidRPr="008F60CC">
        <w:rPr>
          <w:rStyle w:val="FootnoteReference"/>
          <w:rFonts w:ascii="Constantia" w:hAnsi="Constantia"/>
          <w:sz w:val="24"/>
          <w:szCs w:val="24"/>
          <w:lang w:val="el-GR"/>
        </w:rPr>
        <w:footnoteReference w:id="5"/>
      </w:r>
      <w:r w:rsidRPr="008F60CC">
        <w:rPr>
          <w:rFonts w:ascii="Constantia" w:hAnsi="Constantia"/>
          <w:sz w:val="24"/>
          <w:szCs w:val="24"/>
          <w:lang w:val="el-GR"/>
        </w:rPr>
        <w:t>, αποκατάστασης</w:t>
      </w:r>
      <w:r>
        <w:rPr>
          <w:rFonts w:ascii="Constantia" w:hAnsi="Constantia"/>
          <w:sz w:val="24"/>
          <w:szCs w:val="24"/>
          <w:lang w:val="el-GR"/>
        </w:rPr>
        <w:t xml:space="preserve"> </w:t>
      </w:r>
      <w:r w:rsidRPr="008F60CC">
        <w:rPr>
          <w:rFonts w:ascii="Constantia" w:hAnsi="Constantia"/>
          <w:sz w:val="24"/>
          <w:szCs w:val="24"/>
          <w:lang w:val="el-GR"/>
        </w:rPr>
        <w:t>/</w:t>
      </w:r>
      <w:r>
        <w:rPr>
          <w:rFonts w:ascii="Constantia" w:hAnsi="Constantia"/>
          <w:sz w:val="24"/>
          <w:szCs w:val="24"/>
          <w:lang w:val="el-GR"/>
        </w:rPr>
        <w:t xml:space="preserve"> </w:t>
      </w:r>
      <w:proofErr w:type="spellStart"/>
      <w:r w:rsidRPr="008F60CC">
        <w:rPr>
          <w:rFonts w:ascii="Constantia" w:hAnsi="Constantia"/>
          <w:sz w:val="24"/>
          <w:szCs w:val="24"/>
          <w:lang w:val="el-GR"/>
        </w:rPr>
        <w:t>επαναποκατάστασης</w:t>
      </w:r>
      <w:proofErr w:type="spellEnd"/>
      <w:r w:rsidRPr="008F60CC">
        <w:rPr>
          <w:rFonts w:ascii="Constantia" w:hAnsi="Constantia"/>
          <w:sz w:val="24"/>
          <w:szCs w:val="24"/>
          <w:lang w:val="el-GR"/>
        </w:rPr>
        <w:t>. Αξίζει να σημειωθεί ότι, η Ελλάδα βρίσκεται στην τελευταία θέση μεταξύ των ευρωπαϊκών χωρών και αναφορικά με το ποσοστό δαπανών κοινωνικής προστασίας που αφιερώνει σε παροχές σε είδος</w:t>
      </w:r>
      <w:r w:rsidRPr="008F60CC">
        <w:rPr>
          <w:rStyle w:val="FootnoteReference"/>
          <w:rFonts w:ascii="Constantia" w:hAnsi="Constantia"/>
          <w:sz w:val="24"/>
          <w:szCs w:val="24"/>
          <w:lang w:val="el-GR"/>
        </w:rPr>
        <w:footnoteReference w:id="6"/>
      </w:r>
      <w:r w:rsidRPr="008F60CC">
        <w:rPr>
          <w:rFonts w:ascii="Constantia" w:hAnsi="Constantia"/>
          <w:sz w:val="24"/>
          <w:szCs w:val="24"/>
          <w:lang w:val="el-GR"/>
        </w:rPr>
        <w:t>.</w:t>
      </w:r>
    </w:p>
    <w:bookmarkEnd w:id="43"/>
    <w:p w14:paraId="5BBCF673" w14:textId="77777777" w:rsidR="008F60CC" w:rsidRDefault="008F60CC" w:rsidP="008F60CC">
      <w:pPr>
        <w:spacing w:after="0" w:line="240" w:lineRule="auto"/>
        <w:rPr>
          <w:lang w:val="el-GR"/>
        </w:rPr>
      </w:pPr>
      <w:r>
        <w:rPr>
          <w:lang w:val="el-GR"/>
        </w:rPr>
        <w:br w:type="page"/>
      </w:r>
    </w:p>
    <w:p w14:paraId="7B4774A9" w14:textId="77777777" w:rsidR="008F60CC" w:rsidRPr="008F60CC" w:rsidRDefault="008F60CC" w:rsidP="008F60CC">
      <w:pPr>
        <w:pStyle w:val="Caption"/>
        <w:spacing w:before="360" w:after="240"/>
        <w:jc w:val="center"/>
        <w:rPr>
          <w:rFonts w:asciiTheme="majorHAnsi" w:hAnsiTheme="majorHAnsi" w:cstheme="majorHAnsi"/>
          <w:i w:val="0"/>
          <w:iCs w:val="0"/>
          <w:color w:val="1C6194" w:themeColor="accent2" w:themeShade="BF"/>
          <w:sz w:val="24"/>
          <w:szCs w:val="24"/>
          <w:lang w:val="el-GR"/>
        </w:rPr>
      </w:pPr>
      <w:bookmarkStart w:id="44" w:name="_Hlk44944067"/>
      <w:r w:rsidRPr="008F60CC">
        <w:rPr>
          <w:rFonts w:asciiTheme="majorHAnsi" w:hAnsiTheme="majorHAnsi" w:cstheme="majorHAnsi"/>
          <w:b/>
          <w:bCs/>
          <w:i w:val="0"/>
          <w:iCs w:val="0"/>
          <w:color w:val="1C6194" w:themeColor="accent2" w:themeShade="BF"/>
          <w:sz w:val="24"/>
          <w:szCs w:val="24"/>
          <w:lang w:val="el-GR"/>
        </w:rPr>
        <w:lastRenderedPageBreak/>
        <w:t>Πίνακας 2</w:t>
      </w:r>
      <w:r w:rsidRPr="008F60CC">
        <w:rPr>
          <w:rFonts w:asciiTheme="majorHAnsi" w:hAnsiTheme="majorHAnsi" w:cstheme="majorHAnsi"/>
          <w:i w:val="0"/>
          <w:iCs w:val="0"/>
          <w:color w:val="1C6194" w:themeColor="accent2" w:themeShade="BF"/>
          <w:sz w:val="24"/>
          <w:szCs w:val="24"/>
          <w:lang w:val="el-GR"/>
        </w:rPr>
        <w:t xml:space="preserve">: Αναλυτικός πίνακας παροχών κοινωνικής προστασίας </w:t>
      </w:r>
      <w:r w:rsidRPr="008F60CC">
        <w:rPr>
          <w:rFonts w:asciiTheme="majorHAnsi" w:hAnsiTheme="majorHAnsi" w:cstheme="majorHAnsi"/>
          <w:i w:val="0"/>
          <w:iCs w:val="0"/>
          <w:color w:val="1C6194" w:themeColor="accent2" w:themeShade="BF"/>
          <w:sz w:val="24"/>
          <w:szCs w:val="24"/>
          <w:lang w:val="el-GR"/>
        </w:rPr>
        <w:br/>
        <w:t>για την αναπηρία (σε εκατ. Ευρώ)</w:t>
      </w:r>
    </w:p>
    <w:tbl>
      <w:tblPr>
        <w:tblStyle w:val="TableGridLight1"/>
        <w:tblW w:w="8794" w:type="dxa"/>
        <w:tblBorders>
          <w:top w:val="none" w:sz="0" w:space="0" w:color="auto"/>
          <w:left w:val="none" w:sz="0" w:space="0" w:color="auto"/>
          <w:bottom w:val="none" w:sz="0" w:space="0" w:color="auto"/>
          <w:right w:val="none" w:sz="0" w:space="0" w:color="auto"/>
          <w:insideH w:val="single" w:sz="6" w:space="0" w:color="A6A6A6" w:themeColor="background1" w:themeShade="A6"/>
          <w:insideV w:val="none" w:sz="0" w:space="0" w:color="auto"/>
        </w:tblBorders>
        <w:tblLook w:val="04A0" w:firstRow="1" w:lastRow="0" w:firstColumn="1" w:lastColumn="0" w:noHBand="0" w:noVBand="1"/>
      </w:tblPr>
      <w:tblGrid>
        <w:gridCol w:w="1457"/>
        <w:gridCol w:w="667"/>
        <w:gridCol w:w="667"/>
        <w:gridCol w:w="667"/>
        <w:gridCol w:w="667"/>
        <w:gridCol w:w="667"/>
        <w:gridCol w:w="667"/>
        <w:gridCol w:w="667"/>
        <w:gridCol w:w="667"/>
        <w:gridCol w:w="667"/>
        <w:gridCol w:w="667"/>
        <w:gridCol w:w="667"/>
      </w:tblGrid>
      <w:tr w:rsidR="008F60CC" w14:paraId="2F2317A8" w14:textId="77777777" w:rsidTr="00F73BAF">
        <w:trPr>
          <w:trHeight w:val="255"/>
        </w:trPr>
        <w:tc>
          <w:tcPr>
            <w:tcW w:w="1457" w:type="dxa"/>
            <w:noWrap/>
          </w:tcPr>
          <w:p w14:paraId="7F538442" w14:textId="77777777" w:rsidR="008F60CC" w:rsidRDefault="008F60CC" w:rsidP="00F73BAF">
            <w:pPr>
              <w:spacing w:before="80" w:after="80" w:line="240" w:lineRule="auto"/>
              <w:rPr>
                <w:rFonts w:ascii="Times New Roman" w:eastAsia="Times New Roman" w:hAnsi="Times New Roman" w:cs="Times New Roman"/>
                <w:kern w:val="0"/>
                <w:sz w:val="20"/>
                <w:szCs w:val="20"/>
                <w:lang w:val="el-GR" w:eastAsia="de-DE"/>
                <w14:ligatures w14:val="none"/>
              </w:rPr>
            </w:pPr>
          </w:p>
        </w:tc>
        <w:tc>
          <w:tcPr>
            <w:tcW w:w="667" w:type="dxa"/>
            <w:shd w:val="clear" w:color="auto" w:fill="D9D9D9" w:themeFill="background1" w:themeFillShade="D9"/>
            <w:noWrap/>
          </w:tcPr>
          <w:p w14:paraId="4205C466" w14:textId="77777777" w:rsidR="008F60CC" w:rsidRDefault="008F60CC" w:rsidP="00F73BAF">
            <w:pPr>
              <w:spacing w:before="80" w:after="80" w:line="240" w:lineRule="auto"/>
              <w:jc w:val="center"/>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2012</w:t>
            </w:r>
          </w:p>
        </w:tc>
        <w:tc>
          <w:tcPr>
            <w:tcW w:w="667" w:type="dxa"/>
            <w:noWrap/>
          </w:tcPr>
          <w:p w14:paraId="724C5099" w14:textId="77777777" w:rsidR="008F60CC" w:rsidRDefault="008F60CC" w:rsidP="00F73BAF">
            <w:pPr>
              <w:spacing w:before="80" w:after="80" w:line="240" w:lineRule="auto"/>
              <w:jc w:val="center"/>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2013</w:t>
            </w:r>
          </w:p>
        </w:tc>
        <w:tc>
          <w:tcPr>
            <w:tcW w:w="667" w:type="dxa"/>
            <w:shd w:val="clear" w:color="auto" w:fill="D9D9D9" w:themeFill="background1" w:themeFillShade="D9"/>
            <w:noWrap/>
          </w:tcPr>
          <w:p w14:paraId="74BCEBB9" w14:textId="77777777" w:rsidR="008F60CC" w:rsidRDefault="008F60CC" w:rsidP="00F73BAF">
            <w:pPr>
              <w:spacing w:before="80" w:after="80" w:line="240" w:lineRule="auto"/>
              <w:jc w:val="center"/>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2014</w:t>
            </w:r>
          </w:p>
        </w:tc>
        <w:tc>
          <w:tcPr>
            <w:tcW w:w="667" w:type="dxa"/>
            <w:noWrap/>
          </w:tcPr>
          <w:p w14:paraId="0EAC1903" w14:textId="77777777" w:rsidR="008F60CC" w:rsidRDefault="008F60CC" w:rsidP="00F73BAF">
            <w:pPr>
              <w:spacing w:before="80" w:after="80" w:line="240" w:lineRule="auto"/>
              <w:jc w:val="center"/>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2015</w:t>
            </w:r>
          </w:p>
        </w:tc>
        <w:tc>
          <w:tcPr>
            <w:tcW w:w="667" w:type="dxa"/>
            <w:shd w:val="clear" w:color="auto" w:fill="D9D9D9" w:themeFill="background1" w:themeFillShade="D9"/>
            <w:noWrap/>
          </w:tcPr>
          <w:p w14:paraId="7B4844DA" w14:textId="77777777" w:rsidR="008F60CC" w:rsidRDefault="008F60CC" w:rsidP="00F73BAF">
            <w:pPr>
              <w:spacing w:before="80" w:after="80" w:line="240" w:lineRule="auto"/>
              <w:jc w:val="center"/>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2016</w:t>
            </w:r>
          </w:p>
        </w:tc>
        <w:tc>
          <w:tcPr>
            <w:tcW w:w="667" w:type="dxa"/>
            <w:noWrap/>
          </w:tcPr>
          <w:p w14:paraId="1E866B50" w14:textId="77777777" w:rsidR="008F60CC" w:rsidRDefault="008F60CC" w:rsidP="00F73BAF">
            <w:pPr>
              <w:spacing w:before="80" w:after="80" w:line="240" w:lineRule="auto"/>
              <w:jc w:val="center"/>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2017</w:t>
            </w:r>
          </w:p>
        </w:tc>
        <w:tc>
          <w:tcPr>
            <w:tcW w:w="667" w:type="dxa"/>
            <w:shd w:val="clear" w:color="auto" w:fill="D9D9D9" w:themeFill="background1" w:themeFillShade="D9"/>
            <w:noWrap/>
          </w:tcPr>
          <w:p w14:paraId="25CFA951" w14:textId="77777777" w:rsidR="008F60CC" w:rsidRDefault="008F60CC" w:rsidP="00F73BAF">
            <w:pPr>
              <w:spacing w:before="80" w:after="80" w:line="240" w:lineRule="auto"/>
              <w:jc w:val="center"/>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2018</w:t>
            </w:r>
          </w:p>
        </w:tc>
        <w:tc>
          <w:tcPr>
            <w:tcW w:w="667" w:type="dxa"/>
            <w:noWrap/>
          </w:tcPr>
          <w:p w14:paraId="2A9F4651" w14:textId="77777777" w:rsidR="008F60CC" w:rsidRDefault="008F60CC" w:rsidP="00F73BAF">
            <w:pPr>
              <w:spacing w:before="80" w:after="80" w:line="240" w:lineRule="auto"/>
              <w:jc w:val="center"/>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2019</w:t>
            </w:r>
          </w:p>
        </w:tc>
        <w:tc>
          <w:tcPr>
            <w:tcW w:w="667" w:type="dxa"/>
            <w:shd w:val="clear" w:color="auto" w:fill="D9D9D9" w:themeFill="background1" w:themeFillShade="D9"/>
            <w:noWrap/>
          </w:tcPr>
          <w:p w14:paraId="3B596C9D" w14:textId="77777777" w:rsidR="008F60CC" w:rsidRDefault="008F60CC" w:rsidP="00F73BAF">
            <w:pPr>
              <w:spacing w:before="80" w:after="80" w:line="240" w:lineRule="auto"/>
              <w:jc w:val="center"/>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2020</w:t>
            </w:r>
          </w:p>
        </w:tc>
        <w:tc>
          <w:tcPr>
            <w:tcW w:w="667" w:type="dxa"/>
            <w:noWrap/>
          </w:tcPr>
          <w:p w14:paraId="70A89F0B" w14:textId="77777777" w:rsidR="008F60CC" w:rsidRDefault="008F60CC" w:rsidP="00F73BAF">
            <w:pPr>
              <w:spacing w:before="80" w:after="80" w:line="240" w:lineRule="auto"/>
              <w:jc w:val="center"/>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2021</w:t>
            </w:r>
          </w:p>
        </w:tc>
        <w:tc>
          <w:tcPr>
            <w:tcW w:w="667" w:type="dxa"/>
            <w:shd w:val="clear" w:color="auto" w:fill="D9D9D9" w:themeFill="background1" w:themeFillShade="D9"/>
            <w:noWrap/>
          </w:tcPr>
          <w:p w14:paraId="0FEA6B4D" w14:textId="77777777" w:rsidR="008F60CC" w:rsidRDefault="008F60CC" w:rsidP="00F73BAF">
            <w:pPr>
              <w:spacing w:before="80" w:after="80" w:line="240" w:lineRule="auto"/>
              <w:jc w:val="center"/>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2022</w:t>
            </w:r>
          </w:p>
        </w:tc>
      </w:tr>
      <w:tr w:rsidR="008F60CC" w14:paraId="154E429A" w14:textId="77777777" w:rsidTr="00F73BAF">
        <w:trPr>
          <w:trHeight w:val="255"/>
        </w:trPr>
        <w:tc>
          <w:tcPr>
            <w:tcW w:w="1457" w:type="dxa"/>
            <w:noWrap/>
          </w:tcPr>
          <w:p w14:paraId="704F41B9" w14:textId="77777777" w:rsidR="008F60CC" w:rsidRPr="004C7F1F" w:rsidRDefault="008F60CC" w:rsidP="00F73BAF">
            <w:pPr>
              <w:spacing w:before="80" w:after="80" w:line="240" w:lineRule="auto"/>
              <w:rPr>
                <w:rFonts w:ascii="Arial" w:eastAsia="Times New Roman" w:hAnsi="Arial" w:cs="Arial"/>
                <w:b/>
                <w:bCs/>
                <w:kern w:val="0"/>
                <w:sz w:val="18"/>
                <w:szCs w:val="18"/>
                <w:lang w:val="el-GR" w:eastAsia="de-DE"/>
                <w14:ligatures w14:val="none"/>
              </w:rPr>
            </w:pPr>
            <w:r w:rsidRPr="004C7F1F">
              <w:rPr>
                <w:rFonts w:ascii="Arial" w:eastAsia="Times New Roman" w:hAnsi="Arial" w:cs="Arial"/>
                <w:b/>
                <w:bCs/>
                <w:kern w:val="0"/>
                <w:sz w:val="18"/>
                <w:szCs w:val="18"/>
                <w:lang w:val="el-GR" w:eastAsia="de-DE"/>
                <w14:ligatures w14:val="none"/>
              </w:rPr>
              <w:t>ΣΥΝΟΛΟ ΠΑΡΟΧΩΝ</w:t>
            </w:r>
          </w:p>
        </w:tc>
        <w:tc>
          <w:tcPr>
            <w:tcW w:w="667" w:type="dxa"/>
            <w:shd w:val="clear" w:color="auto" w:fill="D9D9D9" w:themeFill="background1" w:themeFillShade="D9"/>
            <w:noWrap/>
          </w:tcPr>
          <w:p w14:paraId="2B99512A"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3.361</w:t>
            </w:r>
          </w:p>
        </w:tc>
        <w:tc>
          <w:tcPr>
            <w:tcW w:w="667" w:type="dxa"/>
            <w:noWrap/>
          </w:tcPr>
          <w:p w14:paraId="33CB94F2"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3.018</w:t>
            </w:r>
          </w:p>
        </w:tc>
        <w:tc>
          <w:tcPr>
            <w:tcW w:w="667" w:type="dxa"/>
            <w:shd w:val="clear" w:color="auto" w:fill="D9D9D9" w:themeFill="background1" w:themeFillShade="D9"/>
            <w:noWrap/>
          </w:tcPr>
          <w:p w14:paraId="241DD5D7"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2.969</w:t>
            </w:r>
          </w:p>
        </w:tc>
        <w:tc>
          <w:tcPr>
            <w:tcW w:w="667" w:type="dxa"/>
            <w:noWrap/>
          </w:tcPr>
          <w:p w14:paraId="27A16F5A"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1.950</w:t>
            </w:r>
          </w:p>
        </w:tc>
        <w:tc>
          <w:tcPr>
            <w:tcW w:w="667" w:type="dxa"/>
            <w:shd w:val="clear" w:color="auto" w:fill="D9D9D9" w:themeFill="background1" w:themeFillShade="D9"/>
            <w:noWrap/>
          </w:tcPr>
          <w:p w14:paraId="773985CA"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1.935</w:t>
            </w:r>
          </w:p>
        </w:tc>
        <w:tc>
          <w:tcPr>
            <w:tcW w:w="667" w:type="dxa"/>
            <w:noWrap/>
          </w:tcPr>
          <w:p w14:paraId="74CE9C20"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1.884</w:t>
            </w:r>
          </w:p>
        </w:tc>
        <w:tc>
          <w:tcPr>
            <w:tcW w:w="667" w:type="dxa"/>
            <w:shd w:val="clear" w:color="auto" w:fill="D9D9D9" w:themeFill="background1" w:themeFillShade="D9"/>
            <w:noWrap/>
          </w:tcPr>
          <w:p w14:paraId="354880AB"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1.826</w:t>
            </w:r>
          </w:p>
        </w:tc>
        <w:tc>
          <w:tcPr>
            <w:tcW w:w="667" w:type="dxa"/>
            <w:noWrap/>
          </w:tcPr>
          <w:p w14:paraId="397D0281"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1.977</w:t>
            </w:r>
          </w:p>
        </w:tc>
        <w:tc>
          <w:tcPr>
            <w:tcW w:w="667" w:type="dxa"/>
            <w:shd w:val="clear" w:color="auto" w:fill="D9D9D9" w:themeFill="background1" w:themeFillShade="D9"/>
            <w:noWrap/>
          </w:tcPr>
          <w:p w14:paraId="0BD5D54D"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1.891</w:t>
            </w:r>
          </w:p>
        </w:tc>
        <w:tc>
          <w:tcPr>
            <w:tcW w:w="667" w:type="dxa"/>
            <w:noWrap/>
          </w:tcPr>
          <w:p w14:paraId="2564948F"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1.907</w:t>
            </w:r>
          </w:p>
        </w:tc>
        <w:tc>
          <w:tcPr>
            <w:tcW w:w="667" w:type="dxa"/>
            <w:shd w:val="clear" w:color="auto" w:fill="D9D9D9" w:themeFill="background1" w:themeFillShade="D9"/>
            <w:noWrap/>
          </w:tcPr>
          <w:p w14:paraId="1EA40486"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1.901</w:t>
            </w:r>
          </w:p>
        </w:tc>
      </w:tr>
      <w:tr w:rsidR="008F60CC" w14:paraId="5308E4B0" w14:textId="77777777" w:rsidTr="00F73BAF">
        <w:trPr>
          <w:trHeight w:val="255"/>
        </w:trPr>
        <w:tc>
          <w:tcPr>
            <w:tcW w:w="1457" w:type="dxa"/>
            <w:noWrap/>
          </w:tcPr>
          <w:p w14:paraId="765DD114" w14:textId="77777777" w:rsidR="008F60CC" w:rsidRPr="004C7F1F" w:rsidRDefault="008F60CC" w:rsidP="00F73BAF">
            <w:pPr>
              <w:spacing w:before="80" w:after="80" w:line="240" w:lineRule="auto"/>
              <w:rPr>
                <w:rFonts w:ascii="Arial" w:eastAsia="Times New Roman" w:hAnsi="Arial" w:cs="Arial"/>
                <w:b/>
                <w:bCs/>
                <w:kern w:val="0"/>
                <w:sz w:val="18"/>
                <w:szCs w:val="18"/>
                <w:lang w:val="el-GR" w:eastAsia="de-DE"/>
                <w14:ligatures w14:val="none"/>
              </w:rPr>
            </w:pPr>
            <w:r w:rsidRPr="004C7F1F">
              <w:rPr>
                <w:rFonts w:ascii="Arial" w:eastAsia="Times New Roman" w:hAnsi="Arial" w:cs="Arial"/>
                <w:b/>
                <w:bCs/>
                <w:kern w:val="0"/>
                <w:sz w:val="18"/>
                <w:szCs w:val="18"/>
                <w:lang w:val="el-GR" w:eastAsia="de-DE"/>
                <w14:ligatures w14:val="none"/>
              </w:rPr>
              <w:t>Χωρίς εισοδηματικά κριτήρια</w:t>
            </w:r>
          </w:p>
        </w:tc>
        <w:tc>
          <w:tcPr>
            <w:tcW w:w="667" w:type="dxa"/>
            <w:shd w:val="clear" w:color="auto" w:fill="D9D9D9" w:themeFill="background1" w:themeFillShade="D9"/>
            <w:noWrap/>
          </w:tcPr>
          <w:p w14:paraId="082AE2E1"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3.229</w:t>
            </w:r>
          </w:p>
        </w:tc>
        <w:tc>
          <w:tcPr>
            <w:tcW w:w="667" w:type="dxa"/>
            <w:noWrap/>
          </w:tcPr>
          <w:p w14:paraId="704E99E4"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2.886</w:t>
            </w:r>
          </w:p>
        </w:tc>
        <w:tc>
          <w:tcPr>
            <w:tcW w:w="667" w:type="dxa"/>
            <w:shd w:val="clear" w:color="auto" w:fill="D9D9D9" w:themeFill="background1" w:themeFillShade="D9"/>
            <w:noWrap/>
          </w:tcPr>
          <w:p w14:paraId="1272BCF6"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2.871</w:t>
            </w:r>
          </w:p>
        </w:tc>
        <w:tc>
          <w:tcPr>
            <w:tcW w:w="667" w:type="dxa"/>
            <w:noWrap/>
          </w:tcPr>
          <w:p w14:paraId="56C7EA07"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1.912</w:t>
            </w:r>
          </w:p>
        </w:tc>
        <w:tc>
          <w:tcPr>
            <w:tcW w:w="667" w:type="dxa"/>
            <w:shd w:val="clear" w:color="auto" w:fill="D9D9D9" w:themeFill="background1" w:themeFillShade="D9"/>
            <w:noWrap/>
          </w:tcPr>
          <w:p w14:paraId="4E6A0561"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1.902</w:t>
            </w:r>
          </w:p>
        </w:tc>
        <w:tc>
          <w:tcPr>
            <w:tcW w:w="667" w:type="dxa"/>
            <w:noWrap/>
          </w:tcPr>
          <w:p w14:paraId="545D3739"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1.860</w:t>
            </w:r>
          </w:p>
        </w:tc>
        <w:tc>
          <w:tcPr>
            <w:tcW w:w="667" w:type="dxa"/>
            <w:shd w:val="clear" w:color="auto" w:fill="D9D9D9" w:themeFill="background1" w:themeFillShade="D9"/>
            <w:noWrap/>
          </w:tcPr>
          <w:p w14:paraId="171C6F82"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1.801</w:t>
            </w:r>
          </w:p>
        </w:tc>
        <w:tc>
          <w:tcPr>
            <w:tcW w:w="667" w:type="dxa"/>
            <w:noWrap/>
          </w:tcPr>
          <w:p w14:paraId="38EE93FC"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1.961</w:t>
            </w:r>
          </w:p>
        </w:tc>
        <w:tc>
          <w:tcPr>
            <w:tcW w:w="667" w:type="dxa"/>
            <w:shd w:val="clear" w:color="auto" w:fill="D9D9D9" w:themeFill="background1" w:themeFillShade="D9"/>
            <w:noWrap/>
          </w:tcPr>
          <w:p w14:paraId="33B00882"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1.889</w:t>
            </w:r>
          </w:p>
        </w:tc>
        <w:tc>
          <w:tcPr>
            <w:tcW w:w="667" w:type="dxa"/>
            <w:noWrap/>
          </w:tcPr>
          <w:p w14:paraId="03433487"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1.904</w:t>
            </w:r>
          </w:p>
        </w:tc>
        <w:tc>
          <w:tcPr>
            <w:tcW w:w="667" w:type="dxa"/>
            <w:shd w:val="clear" w:color="auto" w:fill="D9D9D9" w:themeFill="background1" w:themeFillShade="D9"/>
            <w:noWrap/>
          </w:tcPr>
          <w:p w14:paraId="4442D597"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1.898</w:t>
            </w:r>
          </w:p>
        </w:tc>
      </w:tr>
      <w:tr w:rsidR="008F60CC" w14:paraId="69A17EE7" w14:textId="77777777" w:rsidTr="00F73BAF">
        <w:trPr>
          <w:trHeight w:val="255"/>
        </w:trPr>
        <w:tc>
          <w:tcPr>
            <w:tcW w:w="1457" w:type="dxa"/>
            <w:noWrap/>
          </w:tcPr>
          <w:p w14:paraId="173A14D3" w14:textId="77777777" w:rsidR="008F60CC" w:rsidRPr="004C7F1F" w:rsidRDefault="008F60CC" w:rsidP="00F73BAF">
            <w:pPr>
              <w:spacing w:before="80" w:after="80" w:line="240" w:lineRule="auto"/>
              <w:rPr>
                <w:rFonts w:ascii="Arial" w:eastAsia="Times New Roman" w:hAnsi="Arial" w:cs="Arial"/>
                <w:b/>
                <w:bCs/>
                <w:kern w:val="0"/>
                <w:sz w:val="18"/>
                <w:szCs w:val="18"/>
                <w:lang w:val="el-GR" w:eastAsia="de-DE"/>
                <w14:ligatures w14:val="none"/>
              </w:rPr>
            </w:pPr>
            <w:r w:rsidRPr="004C7F1F">
              <w:rPr>
                <w:rFonts w:ascii="Arial" w:eastAsia="Times New Roman" w:hAnsi="Arial" w:cs="Arial"/>
                <w:b/>
                <w:bCs/>
                <w:kern w:val="0"/>
                <w:sz w:val="18"/>
                <w:szCs w:val="18"/>
                <w:lang w:val="el-GR" w:eastAsia="de-DE"/>
                <w14:ligatures w14:val="none"/>
              </w:rPr>
              <w:t>Παροχές σε χρήμα</w:t>
            </w:r>
          </w:p>
        </w:tc>
        <w:tc>
          <w:tcPr>
            <w:tcW w:w="667" w:type="dxa"/>
            <w:shd w:val="clear" w:color="auto" w:fill="D9D9D9" w:themeFill="background1" w:themeFillShade="D9"/>
            <w:noWrap/>
          </w:tcPr>
          <w:p w14:paraId="2A3D90CF"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3.200</w:t>
            </w:r>
          </w:p>
        </w:tc>
        <w:tc>
          <w:tcPr>
            <w:tcW w:w="667" w:type="dxa"/>
            <w:noWrap/>
          </w:tcPr>
          <w:p w14:paraId="16E92AD8"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2.833</w:t>
            </w:r>
          </w:p>
        </w:tc>
        <w:tc>
          <w:tcPr>
            <w:tcW w:w="667" w:type="dxa"/>
            <w:shd w:val="clear" w:color="auto" w:fill="D9D9D9" w:themeFill="background1" w:themeFillShade="D9"/>
            <w:noWrap/>
          </w:tcPr>
          <w:p w14:paraId="0A1D6B8D"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2.825</w:t>
            </w:r>
          </w:p>
        </w:tc>
        <w:tc>
          <w:tcPr>
            <w:tcW w:w="667" w:type="dxa"/>
            <w:noWrap/>
          </w:tcPr>
          <w:p w14:paraId="25B3B3DA"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1.833</w:t>
            </w:r>
          </w:p>
        </w:tc>
        <w:tc>
          <w:tcPr>
            <w:tcW w:w="667" w:type="dxa"/>
            <w:shd w:val="clear" w:color="auto" w:fill="D9D9D9" w:themeFill="background1" w:themeFillShade="D9"/>
            <w:noWrap/>
          </w:tcPr>
          <w:p w14:paraId="7A076B70"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1.848</w:t>
            </w:r>
          </w:p>
        </w:tc>
        <w:tc>
          <w:tcPr>
            <w:tcW w:w="667" w:type="dxa"/>
            <w:noWrap/>
          </w:tcPr>
          <w:p w14:paraId="09B19F34"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1.788</w:t>
            </w:r>
          </w:p>
        </w:tc>
        <w:tc>
          <w:tcPr>
            <w:tcW w:w="667" w:type="dxa"/>
            <w:shd w:val="clear" w:color="auto" w:fill="D9D9D9" w:themeFill="background1" w:themeFillShade="D9"/>
            <w:noWrap/>
          </w:tcPr>
          <w:p w14:paraId="7E353693"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1.685</w:t>
            </w:r>
          </w:p>
        </w:tc>
        <w:tc>
          <w:tcPr>
            <w:tcW w:w="667" w:type="dxa"/>
            <w:noWrap/>
          </w:tcPr>
          <w:p w14:paraId="5A7B9771"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1.891</w:t>
            </w:r>
          </w:p>
        </w:tc>
        <w:tc>
          <w:tcPr>
            <w:tcW w:w="667" w:type="dxa"/>
            <w:shd w:val="clear" w:color="auto" w:fill="D9D9D9" w:themeFill="background1" w:themeFillShade="D9"/>
            <w:noWrap/>
          </w:tcPr>
          <w:p w14:paraId="526DB592"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1.821</w:t>
            </w:r>
          </w:p>
        </w:tc>
        <w:tc>
          <w:tcPr>
            <w:tcW w:w="667" w:type="dxa"/>
            <w:noWrap/>
          </w:tcPr>
          <w:p w14:paraId="55DB94FA"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1.837</w:t>
            </w:r>
          </w:p>
        </w:tc>
        <w:tc>
          <w:tcPr>
            <w:tcW w:w="667" w:type="dxa"/>
            <w:shd w:val="clear" w:color="auto" w:fill="D9D9D9" w:themeFill="background1" w:themeFillShade="D9"/>
            <w:noWrap/>
          </w:tcPr>
          <w:p w14:paraId="63EF2D16"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1.830</w:t>
            </w:r>
          </w:p>
        </w:tc>
      </w:tr>
      <w:tr w:rsidR="008F60CC" w14:paraId="01C7E843" w14:textId="77777777" w:rsidTr="00F73BAF">
        <w:trPr>
          <w:trHeight w:val="255"/>
        </w:trPr>
        <w:tc>
          <w:tcPr>
            <w:tcW w:w="1457" w:type="dxa"/>
            <w:noWrap/>
          </w:tcPr>
          <w:p w14:paraId="738E62EB" w14:textId="77777777" w:rsidR="008F60CC" w:rsidRPr="004C7F1F" w:rsidRDefault="008F60CC" w:rsidP="00F73BAF">
            <w:pPr>
              <w:spacing w:before="80" w:after="80" w:line="240" w:lineRule="auto"/>
              <w:rPr>
                <w:rFonts w:ascii="Arial" w:eastAsia="Times New Roman" w:hAnsi="Arial" w:cs="Arial"/>
                <w:b/>
                <w:bCs/>
                <w:kern w:val="0"/>
                <w:sz w:val="18"/>
                <w:szCs w:val="18"/>
                <w:lang w:val="el-GR" w:eastAsia="de-DE"/>
                <w14:ligatures w14:val="none"/>
              </w:rPr>
            </w:pPr>
            <w:r w:rsidRPr="004C7F1F">
              <w:rPr>
                <w:rFonts w:ascii="Arial" w:eastAsia="Times New Roman" w:hAnsi="Arial" w:cs="Arial"/>
                <w:b/>
                <w:bCs/>
                <w:kern w:val="0"/>
                <w:sz w:val="18"/>
                <w:szCs w:val="18"/>
                <w:lang w:val="el-GR" w:eastAsia="de-DE"/>
                <w14:ligatures w14:val="none"/>
              </w:rPr>
              <w:t>Περιοδικές</w:t>
            </w:r>
          </w:p>
        </w:tc>
        <w:tc>
          <w:tcPr>
            <w:tcW w:w="667" w:type="dxa"/>
            <w:shd w:val="clear" w:color="auto" w:fill="D9D9D9" w:themeFill="background1" w:themeFillShade="D9"/>
            <w:noWrap/>
          </w:tcPr>
          <w:p w14:paraId="3875CD01"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3.191</w:t>
            </w:r>
          </w:p>
        </w:tc>
        <w:tc>
          <w:tcPr>
            <w:tcW w:w="667" w:type="dxa"/>
            <w:noWrap/>
          </w:tcPr>
          <w:p w14:paraId="1A466E1E"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2.830</w:t>
            </w:r>
          </w:p>
        </w:tc>
        <w:tc>
          <w:tcPr>
            <w:tcW w:w="667" w:type="dxa"/>
            <w:shd w:val="clear" w:color="auto" w:fill="D9D9D9" w:themeFill="background1" w:themeFillShade="D9"/>
            <w:noWrap/>
          </w:tcPr>
          <w:p w14:paraId="1AFB24B5"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2.823</w:t>
            </w:r>
          </w:p>
        </w:tc>
        <w:tc>
          <w:tcPr>
            <w:tcW w:w="667" w:type="dxa"/>
            <w:noWrap/>
          </w:tcPr>
          <w:p w14:paraId="2FBBE2E3"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1.832</w:t>
            </w:r>
          </w:p>
        </w:tc>
        <w:tc>
          <w:tcPr>
            <w:tcW w:w="667" w:type="dxa"/>
            <w:shd w:val="clear" w:color="auto" w:fill="D9D9D9" w:themeFill="background1" w:themeFillShade="D9"/>
            <w:noWrap/>
          </w:tcPr>
          <w:p w14:paraId="55FBDB9B"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1.846</w:t>
            </w:r>
          </w:p>
        </w:tc>
        <w:tc>
          <w:tcPr>
            <w:tcW w:w="667" w:type="dxa"/>
            <w:noWrap/>
          </w:tcPr>
          <w:p w14:paraId="3A24AB8A"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1.786</w:t>
            </w:r>
          </w:p>
        </w:tc>
        <w:tc>
          <w:tcPr>
            <w:tcW w:w="667" w:type="dxa"/>
            <w:shd w:val="clear" w:color="auto" w:fill="D9D9D9" w:themeFill="background1" w:themeFillShade="D9"/>
            <w:noWrap/>
          </w:tcPr>
          <w:p w14:paraId="2BD5ABFE"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1.683</w:t>
            </w:r>
          </w:p>
        </w:tc>
        <w:tc>
          <w:tcPr>
            <w:tcW w:w="667" w:type="dxa"/>
            <w:noWrap/>
          </w:tcPr>
          <w:p w14:paraId="3F340777"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1.889</w:t>
            </w:r>
          </w:p>
        </w:tc>
        <w:tc>
          <w:tcPr>
            <w:tcW w:w="667" w:type="dxa"/>
            <w:shd w:val="clear" w:color="auto" w:fill="D9D9D9" w:themeFill="background1" w:themeFillShade="D9"/>
            <w:noWrap/>
          </w:tcPr>
          <w:p w14:paraId="4A0F320D"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1.819</w:t>
            </w:r>
          </w:p>
        </w:tc>
        <w:tc>
          <w:tcPr>
            <w:tcW w:w="667" w:type="dxa"/>
            <w:noWrap/>
          </w:tcPr>
          <w:p w14:paraId="4400040D"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1.835</w:t>
            </w:r>
          </w:p>
        </w:tc>
        <w:tc>
          <w:tcPr>
            <w:tcW w:w="667" w:type="dxa"/>
            <w:shd w:val="clear" w:color="auto" w:fill="D9D9D9" w:themeFill="background1" w:themeFillShade="D9"/>
            <w:noWrap/>
          </w:tcPr>
          <w:p w14:paraId="4FA82CB4"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1.828</w:t>
            </w:r>
          </w:p>
        </w:tc>
      </w:tr>
      <w:tr w:rsidR="008F60CC" w14:paraId="68DE7420" w14:textId="77777777" w:rsidTr="00F73BAF">
        <w:trPr>
          <w:trHeight w:val="255"/>
        </w:trPr>
        <w:tc>
          <w:tcPr>
            <w:tcW w:w="1457" w:type="dxa"/>
            <w:noWrap/>
          </w:tcPr>
          <w:p w14:paraId="6D25F0E8" w14:textId="77777777" w:rsidR="008F60CC" w:rsidRPr="004C7F1F" w:rsidRDefault="008F60CC" w:rsidP="00F73BAF">
            <w:pPr>
              <w:spacing w:before="80" w:after="80" w:line="240" w:lineRule="auto"/>
              <w:rPr>
                <w:rFonts w:ascii="Arial" w:eastAsia="Times New Roman" w:hAnsi="Arial" w:cs="Arial"/>
                <w:kern w:val="0"/>
                <w:sz w:val="18"/>
                <w:szCs w:val="18"/>
                <w:lang w:val="el-GR" w:eastAsia="de-DE"/>
                <w14:ligatures w14:val="none"/>
              </w:rPr>
            </w:pPr>
            <w:r w:rsidRPr="004C7F1F">
              <w:rPr>
                <w:rFonts w:ascii="Arial" w:eastAsia="Times New Roman" w:hAnsi="Arial" w:cs="Arial"/>
                <w:kern w:val="0"/>
                <w:sz w:val="18"/>
                <w:szCs w:val="18"/>
                <w:lang w:val="el-GR" w:eastAsia="de-DE"/>
                <w14:ligatures w14:val="none"/>
              </w:rPr>
              <w:t xml:space="preserve">Συντάξεις αναπηρίας </w:t>
            </w:r>
          </w:p>
        </w:tc>
        <w:tc>
          <w:tcPr>
            <w:tcW w:w="667" w:type="dxa"/>
            <w:shd w:val="clear" w:color="auto" w:fill="D9D9D9" w:themeFill="background1" w:themeFillShade="D9"/>
            <w:noWrap/>
          </w:tcPr>
          <w:p w14:paraId="6397F8AE"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2.439</w:t>
            </w:r>
          </w:p>
        </w:tc>
        <w:tc>
          <w:tcPr>
            <w:tcW w:w="667" w:type="dxa"/>
            <w:noWrap/>
          </w:tcPr>
          <w:p w14:paraId="582C1A7A"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2.156</w:t>
            </w:r>
          </w:p>
        </w:tc>
        <w:tc>
          <w:tcPr>
            <w:tcW w:w="667" w:type="dxa"/>
            <w:shd w:val="clear" w:color="auto" w:fill="D9D9D9" w:themeFill="background1" w:themeFillShade="D9"/>
            <w:noWrap/>
          </w:tcPr>
          <w:p w14:paraId="2F00B069"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2.105</w:t>
            </w:r>
          </w:p>
        </w:tc>
        <w:tc>
          <w:tcPr>
            <w:tcW w:w="667" w:type="dxa"/>
            <w:noWrap/>
          </w:tcPr>
          <w:p w14:paraId="487C69CF"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1.159</w:t>
            </w:r>
          </w:p>
        </w:tc>
        <w:tc>
          <w:tcPr>
            <w:tcW w:w="667" w:type="dxa"/>
            <w:shd w:val="clear" w:color="auto" w:fill="D9D9D9" w:themeFill="background1" w:themeFillShade="D9"/>
            <w:noWrap/>
          </w:tcPr>
          <w:p w14:paraId="67F416D8"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1.176</w:t>
            </w:r>
          </w:p>
        </w:tc>
        <w:tc>
          <w:tcPr>
            <w:tcW w:w="667" w:type="dxa"/>
            <w:noWrap/>
          </w:tcPr>
          <w:p w14:paraId="1A1D44D9"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1.115</w:t>
            </w:r>
          </w:p>
        </w:tc>
        <w:tc>
          <w:tcPr>
            <w:tcW w:w="667" w:type="dxa"/>
            <w:shd w:val="clear" w:color="auto" w:fill="D9D9D9" w:themeFill="background1" w:themeFillShade="D9"/>
            <w:noWrap/>
          </w:tcPr>
          <w:p w14:paraId="6FE6ED47"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1.001</w:t>
            </w:r>
          </w:p>
        </w:tc>
        <w:tc>
          <w:tcPr>
            <w:tcW w:w="667" w:type="dxa"/>
            <w:noWrap/>
          </w:tcPr>
          <w:p w14:paraId="0929C2B2"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970</w:t>
            </w:r>
          </w:p>
        </w:tc>
        <w:tc>
          <w:tcPr>
            <w:tcW w:w="667" w:type="dxa"/>
            <w:shd w:val="clear" w:color="auto" w:fill="D9D9D9" w:themeFill="background1" w:themeFillShade="D9"/>
            <w:noWrap/>
          </w:tcPr>
          <w:p w14:paraId="221ECA8F"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987</w:t>
            </w:r>
          </w:p>
        </w:tc>
        <w:tc>
          <w:tcPr>
            <w:tcW w:w="667" w:type="dxa"/>
            <w:noWrap/>
          </w:tcPr>
          <w:p w14:paraId="124D83A7"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947</w:t>
            </w:r>
          </w:p>
        </w:tc>
        <w:tc>
          <w:tcPr>
            <w:tcW w:w="667" w:type="dxa"/>
            <w:shd w:val="clear" w:color="auto" w:fill="D9D9D9" w:themeFill="background1" w:themeFillShade="D9"/>
            <w:noWrap/>
          </w:tcPr>
          <w:p w14:paraId="42C05DE2"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901</w:t>
            </w:r>
          </w:p>
        </w:tc>
      </w:tr>
      <w:tr w:rsidR="008F60CC" w14:paraId="4E4C303A" w14:textId="77777777" w:rsidTr="00F73BAF">
        <w:trPr>
          <w:trHeight w:val="255"/>
        </w:trPr>
        <w:tc>
          <w:tcPr>
            <w:tcW w:w="1457" w:type="dxa"/>
            <w:noWrap/>
          </w:tcPr>
          <w:p w14:paraId="3919E557" w14:textId="77777777" w:rsidR="008F60CC" w:rsidRPr="004C7F1F" w:rsidRDefault="008F60CC" w:rsidP="00F73BAF">
            <w:pPr>
              <w:spacing w:before="80" w:after="80" w:line="240" w:lineRule="auto"/>
              <w:rPr>
                <w:rFonts w:ascii="Arial" w:eastAsia="Times New Roman" w:hAnsi="Arial" w:cs="Arial"/>
                <w:kern w:val="0"/>
                <w:sz w:val="18"/>
                <w:szCs w:val="18"/>
                <w:lang w:val="el-GR" w:eastAsia="de-DE"/>
                <w14:ligatures w14:val="none"/>
              </w:rPr>
            </w:pPr>
            <w:r w:rsidRPr="004C7F1F">
              <w:rPr>
                <w:rFonts w:ascii="Arial" w:eastAsia="Times New Roman" w:hAnsi="Arial" w:cs="Arial"/>
                <w:kern w:val="0"/>
                <w:sz w:val="18"/>
                <w:szCs w:val="18"/>
                <w:lang w:val="el-GR" w:eastAsia="de-DE"/>
                <w14:ligatures w14:val="none"/>
              </w:rPr>
              <w:t>Λοιπά Προνοιακά επιδόματα</w:t>
            </w:r>
          </w:p>
        </w:tc>
        <w:tc>
          <w:tcPr>
            <w:tcW w:w="667" w:type="dxa"/>
            <w:shd w:val="clear" w:color="auto" w:fill="D9D9D9" w:themeFill="background1" w:themeFillShade="D9"/>
            <w:noWrap/>
          </w:tcPr>
          <w:p w14:paraId="317FFBCB"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752</w:t>
            </w:r>
          </w:p>
        </w:tc>
        <w:tc>
          <w:tcPr>
            <w:tcW w:w="667" w:type="dxa"/>
            <w:noWrap/>
          </w:tcPr>
          <w:p w14:paraId="15EB75A3"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674</w:t>
            </w:r>
          </w:p>
        </w:tc>
        <w:tc>
          <w:tcPr>
            <w:tcW w:w="667" w:type="dxa"/>
            <w:shd w:val="clear" w:color="auto" w:fill="D9D9D9" w:themeFill="background1" w:themeFillShade="D9"/>
            <w:noWrap/>
          </w:tcPr>
          <w:p w14:paraId="050CAE5B"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719</w:t>
            </w:r>
          </w:p>
        </w:tc>
        <w:tc>
          <w:tcPr>
            <w:tcW w:w="667" w:type="dxa"/>
            <w:noWrap/>
          </w:tcPr>
          <w:p w14:paraId="52899F1E"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673</w:t>
            </w:r>
          </w:p>
        </w:tc>
        <w:tc>
          <w:tcPr>
            <w:tcW w:w="667" w:type="dxa"/>
            <w:shd w:val="clear" w:color="auto" w:fill="D9D9D9" w:themeFill="background1" w:themeFillShade="D9"/>
            <w:noWrap/>
          </w:tcPr>
          <w:p w14:paraId="04AA155F"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669</w:t>
            </w:r>
          </w:p>
        </w:tc>
        <w:tc>
          <w:tcPr>
            <w:tcW w:w="667" w:type="dxa"/>
            <w:noWrap/>
          </w:tcPr>
          <w:p w14:paraId="0C029E54"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671</w:t>
            </w:r>
          </w:p>
        </w:tc>
        <w:tc>
          <w:tcPr>
            <w:tcW w:w="667" w:type="dxa"/>
            <w:shd w:val="clear" w:color="auto" w:fill="D9D9D9" w:themeFill="background1" w:themeFillShade="D9"/>
            <w:noWrap/>
          </w:tcPr>
          <w:p w14:paraId="5B80B490"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683</w:t>
            </w:r>
          </w:p>
        </w:tc>
        <w:tc>
          <w:tcPr>
            <w:tcW w:w="667" w:type="dxa"/>
            <w:noWrap/>
          </w:tcPr>
          <w:p w14:paraId="739BCD0E"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920</w:t>
            </w:r>
          </w:p>
        </w:tc>
        <w:tc>
          <w:tcPr>
            <w:tcW w:w="667" w:type="dxa"/>
            <w:shd w:val="clear" w:color="auto" w:fill="D9D9D9" w:themeFill="background1" w:themeFillShade="D9"/>
            <w:noWrap/>
          </w:tcPr>
          <w:p w14:paraId="3B167CA2"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832</w:t>
            </w:r>
          </w:p>
        </w:tc>
        <w:tc>
          <w:tcPr>
            <w:tcW w:w="667" w:type="dxa"/>
            <w:noWrap/>
          </w:tcPr>
          <w:p w14:paraId="68B83814"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888</w:t>
            </w:r>
          </w:p>
        </w:tc>
        <w:tc>
          <w:tcPr>
            <w:tcW w:w="667" w:type="dxa"/>
            <w:shd w:val="clear" w:color="auto" w:fill="D9D9D9" w:themeFill="background1" w:themeFillShade="D9"/>
            <w:noWrap/>
          </w:tcPr>
          <w:p w14:paraId="7E4C4050"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926</w:t>
            </w:r>
          </w:p>
        </w:tc>
      </w:tr>
      <w:tr w:rsidR="008F60CC" w14:paraId="23C6CBC1" w14:textId="77777777" w:rsidTr="00F73BAF">
        <w:trPr>
          <w:trHeight w:val="255"/>
        </w:trPr>
        <w:tc>
          <w:tcPr>
            <w:tcW w:w="1457" w:type="dxa"/>
            <w:noWrap/>
          </w:tcPr>
          <w:p w14:paraId="5BE301F4" w14:textId="77777777" w:rsidR="008F60CC" w:rsidRPr="004C7F1F" w:rsidRDefault="008F60CC" w:rsidP="00F73BAF">
            <w:pPr>
              <w:spacing w:before="80" w:after="80" w:line="240" w:lineRule="auto"/>
              <w:rPr>
                <w:rFonts w:ascii="Arial" w:eastAsia="Times New Roman" w:hAnsi="Arial" w:cs="Arial"/>
                <w:b/>
                <w:bCs/>
                <w:kern w:val="0"/>
                <w:sz w:val="18"/>
                <w:szCs w:val="18"/>
                <w:lang w:val="el-GR" w:eastAsia="de-DE"/>
                <w14:ligatures w14:val="none"/>
              </w:rPr>
            </w:pPr>
            <w:r w:rsidRPr="004C7F1F">
              <w:rPr>
                <w:rFonts w:ascii="Arial" w:eastAsia="Times New Roman" w:hAnsi="Arial" w:cs="Arial"/>
                <w:b/>
                <w:bCs/>
                <w:kern w:val="0"/>
                <w:sz w:val="18"/>
                <w:szCs w:val="18"/>
                <w:lang w:val="el-GR" w:eastAsia="de-DE"/>
                <w14:ligatures w14:val="none"/>
              </w:rPr>
              <w:t>Εφάπαξ</w:t>
            </w:r>
          </w:p>
        </w:tc>
        <w:tc>
          <w:tcPr>
            <w:tcW w:w="667" w:type="dxa"/>
            <w:shd w:val="clear" w:color="auto" w:fill="D9D9D9" w:themeFill="background1" w:themeFillShade="D9"/>
            <w:noWrap/>
          </w:tcPr>
          <w:p w14:paraId="2ECEC229"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9</w:t>
            </w:r>
          </w:p>
        </w:tc>
        <w:tc>
          <w:tcPr>
            <w:tcW w:w="667" w:type="dxa"/>
            <w:noWrap/>
          </w:tcPr>
          <w:p w14:paraId="4CFB7489"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3</w:t>
            </w:r>
          </w:p>
        </w:tc>
        <w:tc>
          <w:tcPr>
            <w:tcW w:w="667" w:type="dxa"/>
            <w:shd w:val="clear" w:color="auto" w:fill="D9D9D9" w:themeFill="background1" w:themeFillShade="D9"/>
            <w:noWrap/>
          </w:tcPr>
          <w:p w14:paraId="65B29D36"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2</w:t>
            </w:r>
          </w:p>
        </w:tc>
        <w:tc>
          <w:tcPr>
            <w:tcW w:w="667" w:type="dxa"/>
            <w:noWrap/>
          </w:tcPr>
          <w:p w14:paraId="1045FA9C"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2</w:t>
            </w:r>
          </w:p>
        </w:tc>
        <w:tc>
          <w:tcPr>
            <w:tcW w:w="667" w:type="dxa"/>
            <w:shd w:val="clear" w:color="auto" w:fill="D9D9D9" w:themeFill="background1" w:themeFillShade="D9"/>
            <w:noWrap/>
          </w:tcPr>
          <w:p w14:paraId="67ABEBEA"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2</w:t>
            </w:r>
          </w:p>
        </w:tc>
        <w:tc>
          <w:tcPr>
            <w:tcW w:w="667" w:type="dxa"/>
            <w:noWrap/>
          </w:tcPr>
          <w:p w14:paraId="49866785"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2</w:t>
            </w:r>
          </w:p>
        </w:tc>
        <w:tc>
          <w:tcPr>
            <w:tcW w:w="667" w:type="dxa"/>
            <w:shd w:val="clear" w:color="auto" w:fill="D9D9D9" w:themeFill="background1" w:themeFillShade="D9"/>
            <w:noWrap/>
          </w:tcPr>
          <w:p w14:paraId="443E284A"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2</w:t>
            </w:r>
          </w:p>
        </w:tc>
        <w:tc>
          <w:tcPr>
            <w:tcW w:w="667" w:type="dxa"/>
            <w:noWrap/>
          </w:tcPr>
          <w:p w14:paraId="1F9C89F5"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2</w:t>
            </w:r>
          </w:p>
        </w:tc>
        <w:tc>
          <w:tcPr>
            <w:tcW w:w="667" w:type="dxa"/>
            <w:shd w:val="clear" w:color="auto" w:fill="D9D9D9" w:themeFill="background1" w:themeFillShade="D9"/>
            <w:noWrap/>
          </w:tcPr>
          <w:p w14:paraId="53654522"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2</w:t>
            </w:r>
          </w:p>
        </w:tc>
        <w:tc>
          <w:tcPr>
            <w:tcW w:w="667" w:type="dxa"/>
            <w:noWrap/>
          </w:tcPr>
          <w:p w14:paraId="6F1A0DFA"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2</w:t>
            </w:r>
          </w:p>
        </w:tc>
        <w:tc>
          <w:tcPr>
            <w:tcW w:w="667" w:type="dxa"/>
            <w:shd w:val="clear" w:color="auto" w:fill="D9D9D9" w:themeFill="background1" w:themeFillShade="D9"/>
            <w:noWrap/>
          </w:tcPr>
          <w:p w14:paraId="55972DD9"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3</w:t>
            </w:r>
          </w:p>
        </w:tc>
      </w:tr>
      <w:tr w:rsidR="008F60CC" w14:paraId="29BCC0EC" w14:textId="77777777" w:rsidTr="00F73BAF">
        <w:trPr>
          <w:trHeight w:val="255"/>
        </w:trPr>
        <w:tc>
          <w:tcPr>
            <w:tcW w:w="1457" w:type="dxa"/>
            <w:noWrap/>
          </w:tcPr>
          <w:p w14:paraId="1C837080" w14:textId="77777777" w:rsidR="008F60CC" w:rsidRPr="004C7F1F" w:rsidRDefault="008F60CC" w:rsidP="00F73BAF">
            <w:pPr>
              <w:spacing w:before="80" w:after="80" w:line="240" w:lineRule="auto"/>
              <w:rPr>
                <w:rFonts w:ascii="Arial" w:eastAsia="Times New Roman" w:hAnsi="Arial" w:cs="Arial"/>
                <w:kern w:val="0"/>
                <w:sz w:val="18"/>
                <w:szCs w:val="18"/>
                <w:lang w:val="el-GR" w:eastAsia="de-DE"/>
                <w14:ligatures w14:val="none"/>
              </w:rPr>
            </w:pPr>
            <w:r w:rsidRPr="004C7F1F">
              <w:rPr>
                <w:rFonts w:ascii="Arial" w:eastAsia="Times New Roman" w:hAnsi="Arial" w:cs="Arial"/>
                <w:kern w:val="0"/>
                <w:sz w:val="18"/>
                <w:szCs w:val="18"/>
                <w:lang w:val="el-GR" w:eastAsia="de-DE"/>
                <w14:ligatures w14:val="none"/>
              </w:rPr>
              <w:t>Άλλες εφάπαξ παροχές σε χρήμα</w:t>
            </w:r>
          </w:p>
        </w:tc>
        <w:tc>
          <w:tcPr>
            <w:tcW w:w="667" w:type="dxa"/>
            <w:shd w:val="clear" w:color="auto" w:fill="D9D9D9" w:themeFill="background1" w:themeFillShade="D9"/>
            <w:noWrap/>
          </w:tcPr>
          <w:p w14:paraId="797F999E"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9</w:t>
            </w:r>
          </w:p>
        </w:tc>
        <w:tc>
          <w:tcPr>
            <w:tcW w:w="667" w:type="dxa"/>
            <w:noWrap/>
          </w:tcPr>
          <w:p w14:paraId="2F35284D"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3</w:t>
            </w:r>
          </w:p>
        </w:tc>
        <w:tc>
          <w:tcPr>
            <w:tcW w:w="667" w:type="dxa"/>
            <w:shd w:val="clear" w:color="auto" w:fill="D9D9D9" w:themeFill="background1" w:themeFillShade="D9"/>
            <w:noWrap/>
          </w:tcPr>
          <w:p w14:paraId="2557ED03"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w:t>
            </w:r>
          </w:p>
        </w:tc>
        <w:tc>
          <w:tcPr>
            <w:tcW w:w="667" w:type="dxa"/>
            <w:noWrap/>
          </w:tcPr>
          <w:p w14:paraId="392C5A2A"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w:t>
            </w:r>
          </w:p>
        </w:tc>
        <w:tc>
          <w:tcPr>
            <w:tcW w:w="667" w:type="dxa"/>
            <w:shd w:val="clear" w:color="auto" w:fill="D9D9D9" w:themeFill="background1" w:themeFillShade="D9"/>
            <w:noWrap/>
          </w:tcPr>
          <w:p w14:paraId="758BE16F"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w:t>
            </w:r>
          </w:p>
        </w:tc>
        <w:tc>
          <w:tcPr>
            <w:tcW w:w="667" w:type="dxa"/>
            <w:noWrap/>
          </w:tcPr>
          <w:p w14:paraId="125459E9"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w:t>
            </w:r>
          </w:p>
        </w:tc>
        <w:tc>
          <w:tcPr>
            <w:tcW w:w="667" w:type="dxa"/>
            <w:shd w:val="clear" w:color="auto" w:fill="D9D9D9" w:themeFill="background1" w:themeFillShade="D9"/>
            <w:noWrap/>
          </w:tcPr>
          <w:p w14:paraId="4909F96A"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w:t>
            </w:r>
          </w:p>
        </w:tc>
        <w:tc>
          <w:tcPr>
            <w:tcW w:w="667" w:type="dxa"/>
            <w:noWrap/>
          </w:tcPr>
          <w:p w14:paraId="1EB23313"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w:t>
            </w:r>
          </w:p>
        </w:tc>
        <w:tc>
          <w:tcPr>
            <w:tcW w:w="667" w:type="dxa"/>
            <w:shd w:val="clear" w:color="auto" w:fill="D9D9D9" w:themeFill="background1" w:themeFillShade="D9"/>
            <w:noWrap/>
          </w:tcPr>
          <w:p w14:paraId="355E1208"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w:t>
            </w:r>
          </w:p>
        </w:tc>
        <w:tc>
          <w:tcPr>
            <w:tcW w:w="667" w:type="dxa"/>
            <w:noWrap/>
          </w:tcPr>
          <w:p w14:paraId="74E6843C"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w:t>
            </w:r>
          </w:p>
        </w:tc>
        <w:tc>
          <w:tcPr>
            <w:tcW w:w="667" w:type="dxa"/>
            <w:shd w:val="clear" w:color="auto" w:fill="D9D9D9" w:themeFill="background1" w:themeFillShade="D9"/>
            <w:noWrap/>
          </w:tcPr>
          <w:p w14:paraId="4A6BEF00"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3</w:t>
            </w:r>
          </w:p>
        </w:tc>
      </w:tr>
      <w:tr w:rsidR="008F60CC" w14:paraId="1DE74A38" w14:textId="77777777" w:rsidTr="00F73BAF">
        <w:trPr>
          <w:trHeight w:val="255"/>
        </w:trPr>
        <w:tc>
          <w:tcPr>
            <w:tcW w:w="1457" w:type="dxa"/>
            <w:noWrap/>
          </w:tcPr>
          <w:p w14:paraId="4941E31E" w14:textId="77777777" w:rsidR="008F60CC" w:rsidRPr="004C7F1F" w:rsidRDefault="008F60CC" w:rsidP="00F73BAF">
            <w:pPr>
              <w:spacing w:before="80" w:after="80" w:line="240" w:lineRule="auto"/>
              <w:rPr>
                <w:rFonts w:ascii="Arial" w:eastAsia="Times New Roman" w:hAnsi="Arial" w:cs="Arial"/>
                <w:b/>
                <w:bCs/>
                <w:kern w:val="0"/>
                <w:sz w:val="18"/>
                <w:szCs w:val="18"/>
                <w:lang w:val="el-GR" w:eastAsia="de-DE"/>
                <w14:ligatures w14:val="none"/>
              </w:rPr>
            </w:pPr>
            <w:r w:rsidRPr="004C7F1F">
              <w:rPr>
                <w:rFonts w:ascii="Arial" w:eastAsia="Times New Roman" w:hAnsi="Arial" w:cs="Arial"/>
                <w:b/>
                <w:bCs/>
                <w:kern w:val="0"/>
                <w:sz w:val="18"/>
                <w:szCs w:val="18"/>
                <w:lang w:val="el-GR" w:eastAsia="de-DE"/>
                <w14:ligatures w14:val="none"/>
              </w:rPr>
              <w:t>Παροχές σε είδος</w:t>
            </w:r>
          </w:p>
        </w:tc>
        <w:tc>
          <w:tcPr>
            <w:tcW w:w="667" w:type="dxa"/>
            <w:shd w:val="clear" w:color="auto" w:fill="D9D9D9" w:themeFill="background1" w:themeFillShade="D9"/>
            <w:noWrap/>
          </w:tcPr>
          <w:p w14:paraId="7FB2D760"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29</w:t>
            </w:r>
          </w:p>
        </w:tc>
        <w:tc>
          <w:tcPr>
            <w:tcW w:w="667" w:type="dxa"/>
            <w:noWrap/>
          </w:tcPr>
          <w:p w14:paraId="0AFD8A25"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53</w:t>
            </w:r>
          </w:p>
        </w:tc>
        <w:tc>
          <w:tcPr>
            <w:tcW w:w="667" w:type="dxa"/>
            <w:shd w:val="clear" w:color="auto" w:fill="D9D9D9" w:themeFill="background1" w:themeFillShade="D9"/>
            <w:noWrap/>
          </w:tcPr>
          <w:p w14:paraId="3BA9621E"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46</w:t>
            </w:r>
          </w:p>
        </w:tc>
        <w:tc>
          <w:tcPr>
            <w:tcW w:w="667" w:type="dxa"/>
            <w:noWrap/>
          </w:tcPr>
          <w:p w14:paraId="6C25E6F9"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78</w:t>
            </w:r>
          </w:p>
        </w:tc>
        <w:tc>
          <w:tcPr>
            <w:tcW w:w="667" w:type="dxa"/>
            <w:shd w:val="clear" w:color="auto" w:fill="D9D9D9" w:themeFill="background1" w:themeFillShade="D9"/>
            <w:noWrap/>
          </w:tcPr>
          <w:p w14:paraId="051AC2A4"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54</w:t>
            </w:r>
          </w:p>
        </w:tc>
        <w:tc>
          <w:tcPr>
            <w:tcW w:w="667" w:type="dxa"/>
            <w:noWrap/>
          </w:tcPr>
          <w:p w14:paraId="6EA9BB82"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72</w:t>
            </w:r>
          </w:p>
        </w:tc>
        <w:tc>
          <w:tcPr>
            <w:tcW w:w="667" w:type="dxa"/>
            <w:shd w:val="clear" w:color="auto" w:fill="D9D9D9" w:themeFill="background1" w:themeFillShade="D9"/>
            <w:noWrap/>
          </w:tcPr>
          <w:p w14:paraId="008B5155"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115</w:t>
            </w:r>
          </w:p>
        </w:tc>
        <w:tc>
          <w:tcPr>
            <w:tcW w:w="667" w:type="dxa"/>
            <w:noWrap/>
          </w:tcPr>
          <w:p w14:paraId="7BBBDAF4"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70</w:t>
            </w:r>
          </w:p>
        </w:tc>
        <w:tc>
          <w:tcPr>
            <w:tcW w:w="667" w:type="dxa"/>
            <w:shd w:val="clear" w:color="auto" w:fill="D9D9D9" w:themeFill="background1" w:themeFillShade="D9"/>
            <w:noWrap/>
          </w:tcPr>
          <w:p w14:paraId="70CBC1DE"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68</w:t>
            </w:r>
          </w:p>
        </w:tc>
        <w:tc>
          <w:tcPr>
            <w:tcW w:w="667" w:type="dxa"/>
            <w:noWrap/>
          </w:tcPr>
          <w:p w14:paraId="53D9575C"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66</w:t>
            </w:r>
          </w:p>
        </w:tc>
        <w:tc>
          <w:tcPr>
            <w:tcW w:w="667" w:type="dxa"/>
            <w:shd w:val="clear" w:color="auto" w:fill="D9D9D9" w:themeFill="background1" w:themeFillShade="D9"/>
            <w:noWrap/>
          </w:tcPr>
          <w:p w14:paraId="53F94C0C"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67</w:t>
            </w:r>
          </w:p>
        </w:tc>
      </w:tr>
      <w:tr w:rsidR="008F60CC" w14:paraId="5CD4EF51" w14:textId="77777777" w:rsidTr="00F73BAF">
        <w:trPr>
          <w:trHeight w:val="255"/>
        </w:trPr>
        <w:tc>
          <w:tcPr>
            <w:tcW w:w="1457" w:type="dxa"/>
            <w:noWrap/>
          </w:tcPr>
          <w:p w14:paraId="4D17025C" w14:textId="77777777" w:rsidR="008F60CC" w:rsidRPr="004C7F1F" w:rsidRDefault="008F60CC" w:rsidP="00F73BAF">
            <w:pPr>
              <w:spacing w:before="80" w:after="80" w:line="240" w:lineRule="auto"/>
              <w:rPr>
                <w:rFonts w:ascii="Arial" w:eastAsia="Times New Roman" w:hAnsi="Arial" w:cs="Arial"/>
                <w:kern w:val="0"/>
                <w:sz w:val="18"/>
                <w:szCs w:val="18"/>
                <w:lang w:val="el-GR" w:eastAsia="de-DE"/>
                <w14:ligatures w14:val="none"/>
              </w:rPr>
            </w:pPr>
            <w:r w:rsidRPr="004C7F1F">
              <w:rPr>
                <w:rFonts w:ascii="Arial" w:eastAsia="Times New Roman" w:hAnsi="Arial" w:cs="Arial"/>
                <w:kern w:val="0"/>
                <w:sz w:val="18"/>
                <w:szCs w:val="18"/>
                <w:lang w:val="el-GR" w:eastAsia="de-DE"/>
                <w14:ligatures w14:val="none"/>
              </w:rPr>
              <w:t>Διαμονή</w:t>
            </w:r>
          </w:p>
        </w:tc>
        <w:tc>
          <w:tcPr>
            <w:tcW w:w="667" w:type="dxa"/>
            <w:shd w:val="clear" w:color="auto" w:fill="D9D9D9" w:themeFill="background1" w:themeFillShade="D9"/>
            <w:noWrap/>
          </w:tcPr>
          <w:p w14:paraId="06C27039"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noWrap/>
          </w:tcPr>
          <w:p w14:paraId="6C57E44A"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shd w:val="clear" w:color="auto" w:fill="D9D9D9" w:themeFill="background1" w:themeFillShade="D9"/>
            <w:noWrap/>
          </w:tcPr>
          <w:p w14:paraId="02DDE3D2"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noWrap/>
          </w:tcPr>
          <w:p w14:paraId="1579A95D"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shd w:val="clear" w:color="auto" w:fill="D9D9D9" w:themeFill="background1" w:themeFillShade="D9"/>
            <w:noWrap/>
          </w:tcPr>
          <w:p w14:paraId="7762FF7E"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noWrap/>
          </w:tcPr>
          <w:p w14:paraId="2BF08A26"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shd w:val="clear" w:color="auto" w:fill="D9D9D9" w:themeFill="background1" w:themeFillShade="D9"/>
            <w:noWrap/>
          </w:tcPr>
          <w:p w14:paraId="45F09392"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noWrap/>
          </w:tcPr>
          <w:p w14:paraId="395A119F"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shd w:val="clear" w:color="auto" w:fill="D9D9D9" w:themeFill="background1" w:themeFillShade="D9"/>
            <w:noWrap/>
          </w:tcPr>
          <w:p w14:paraId="4F62C279"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noWrap/>
          </w:tcPr>
          <w:p w14:paraId="1ACB8143"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shd w:val="clear" w:color="auto" w:fill="D9D9D9" w:themeFill="background1" w:themeFillShade="D9"/>
            <w:noWrap/>
          </w:tcPr>
          <w:p w14:paraId="0C2AB0FF"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r>
      <w:tr w:rsidR="008F60CC" w14:paraId="603E0927" w14:textId="77777777" w:rsidTr="00F73BAF">
        <w:trPr>
          <w:trHeight w:val="255"/>
        </w:trPr>
        <w:tc>
          <w:tcPr>
            <w:tcW w:w="1457" w:type="dxa"/>
            <w:noWrap/>
          </w:tcPr>
          <w:p w14:paraId="6FEDD79B" w14:textId="77777777" w:rsidR="008F60CC" w:rsidRPr="004C7F1F" w:rsidRDefault="008F60CC" w:rsidP="00F73BAF">
            <w:pPr>
              <w:spacing w:before="80" w:after="80" w:line="240" w:lineRule="auto"/>
              <w:rPr>
                <w:rFonts w:ascii="Arial" w:eastAsia="Times New Roman" w:hAnsi="Arial" w:cs="Arial"/>
                <w:kern w:val="0"/>
                <w:sz w:val="18"/>
                <w:szCs w:val="18"/>
                <w:lang w:val="el-GR" w:eastAsia="de-DE"/>
                <w14:ligatures w14:val="none"/>
              </w:rPr>
            </w:pPr>
            <w:r w:rsidRPr="004C7F1F">
              <w:rPr>
                <w:rFonts w:ascii="Arial" w:eastAsia="Times New Roman" w:hAnsi="Arial" w:cs="Arial"/>
                <w:kern w:val="0"/>
                <w:sz w:val="18"/>
                <w:szCs w:val="18"/>
                <w:lang w:val="el-GR" w:eastAsia="de-DE"/>
                <w14:ligatures w14:val="none"/>
              </w:rPr>
              <w:t>Βοήθεια στις καθημερινές δραστηριότητες</w:t>
            </w:r>
          </w:p>
        </w:tc>
        <w:tc>
          <w:tcPr>
            <w:tcW w:w="667" w:type="dxa"/>
            <w:shd w:val="clear" w:color="auto" w:fill="D9D9D9" w:themeFill="background1" w:themeFillShade="D9"/>
            <w:noWrap/>
          </w:tcPr>
          <w:p w14:paraId="127545B4"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noWrap/>
          </w:tcPr>
          <w:p w14:paraId="37FFCF8D"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shd w:val="clear" w:color="auto" w:fill="D9D9D9" w:themeFill="background1" w:themeFillShade="D9"/>
            <w:noWrap/>
          </w:tcPr>
          <w:p w14:paraId="6BCA20CC"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noWrap/>
          </w:tcPr>
          <w:p w14:paraId="44592460"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shd w:val="clear" w:color="auto" w:fill="D9D9D9" w:themeFill="background1" w:themeFillShade="D9"/>
            <w:noWrap/>
          </w:tcPr>
          <w:p w14:paraId="2AD550DE"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noWrap/>
          </w:tcPr>
          <w:p w14:paraId="548C0DE5"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shd w:val="clear" w:color="auto" w:fill="D9D9D9" w:themeFill="background1" w:themeFillShade="D9"/>
            <w:noWrap/>
          </w:tcPr>
          <w:p w14:paraId="1BFDDB57"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noWrap/>
          </w:tcPr>
          <w:p w14:paraId="74D46794"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shd w:val="clear" w:color="auto" w:fill="D9D9D9" w:themeFill="background1" w:themeFillShade="D9"/>
            <w:noWrap/>
          </w:tcPr>
          <w:p w14:paraId="139683D7"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noWrap/>
          </w:tcPr>
          <w:p w14:paraId="104C9850"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shd w:val="clear" w:color="auto" w:fill="D9D9D9" w:themeFill="background1" w:themeFillShade="D9"/>
            <w:noWrap/>
          </w:tcPr>
          <w:p w14:paraId="657BFA4B"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r>
      <w:tr w:rsidR="008F60CC" w14:paraId="5EB344D8" w14:textId="77777777" w:rsidTr="00F73BAF">
        <w:trPr>
          <w:trHeight w:val="255"/>
        </w:trPr>
        <w:tc>
          <w:tcPr>
            <w:tcW w:w="1457" w:type="dxa"/>
            <w:noWrap/>
          </w:tcPr>
          <w:p w14:paraId="46F20B50" w14:textId="77777777" w:rsidR="008F60CC" w:rsidRPr="004C7F1F" w:rsidRDefault="008F60CC" w:rsidP="00F73BAF">
            <w:pPr>
              <w:spacing w:before="80" w:after="80" w:line="240" w:lineRule="auto"/>
              <w:rPr>
                <w:rFonts w:ascii="Arial" w:eastAsia="Times New Roman" w:hAnsi="Arial" w:cs="Arial"/>
                <w:kern w:val="0"/>
                <w:sz w:val="18"/>
                <w:szCs w:val="18"/>
                <w:lang w:val="el-GR" w:eastAsia="de-DE"/>
                <w14:ligatures w14:val="none"/>
              </w:rPr>
            </w:pPr>
            <w:r w:rsidRPr="004C7F1F">
              <w:rPr>
                <w:rFonts w:ascii="Arial" w:eastAsia="Times New Roman" w:hAnsi="Arial" w:cs="Arial"/>
                <w:kern w:val="0"/>
                <w:sz w:val="18"/>
                <w:szCs w:val="18"/>
                <w:lang w:val="el-GR" w:eastAsia="de-DE"/>
                <w14:ligatures w14:val="none"/>
              </w:rPr>
              <w:t>Αποκατάσταση - επανένταξη</w:t>
            </w:r>
          </w:p>
        </w:tc>
        <w:tc>
          <w:tcPr>
            <w:tcW w:w="667" w:type="dxa"/>
            <w:shd w:val="clear" w:color="auto" w:fill="D9D9D9" w:themeFill="background1" w:themeFillShade="D9"/>
            <w:noWrap/>
          </w:tcPr>
          <w:p w14:paraId="4EA8D65A"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29</w:t>
            </w:r>
          </w:p>
        </w:tc>
        <w:tc>
          <w:tcPr>
            <w:tcW w:w="667" w:type="dxa"/>
            <w:noWrap/>
          </w:tcPr>
          <w:p w14:paraId="3E340FD0"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53</w:t>
            </w:r>
          </w:p>
        </w:tc>
        <w:tc>
          <w:tcPr>
            <w:tcW w:w="667" w:type="dxa"/>
            <w:shd w:val="clear" w:color="auto" w:fill="D9D9D9" w:themeFill="background1" w:themeFillShade="D9"/>
            <w:noWrap/>
          </w:tcPr>
          <w:p w14:paraId="6E4F8596"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46</w:t>
            </w:r>
          </w:p>
        </w:tc>
        <w:tc>
          <w:tcPr>
            <w:tcW w:w="667" w:type="dxa"/>
            <w:noWrap/>
          </w:tcPr>
          <w:p w14:paraId="7BC4C253"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78</w:t>
            </w:r>
          </w:p>
        </w:tc>
        <w:tc>
          <w:tcPr>
            <w:tcW w:w="667" w:type="dxa"/>
            <w:shd w:val="clear" w:color="auto" w:fill="D9D9D9" w:themeFill="background1" w:themeFillShade="D9"/>
            <w:noWrap/>
          </w:tcPr>
          <w:p w14:paraId="465FEDA7"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54</w:t>
            </w:r>
          </w:p>
        </w:tc>
        <w:tc>
          <w:tcPr>
            <w:tcW w:w="667" w:type="dxa"/>
            <w:noWrap/>
          </w:tcPr>
          <w:p w14:paraId="692CF11D"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72</w:t>
            </w:r>
          </w:p>
        </w:tc>
        <w:tc>
          <w:tcPr>
            <w:tcW w:w="667" w:type="dxa"/>
            <w:shd w:val="clear" w:color="auto" w:fill="D9D9D9" w:themeFill="background1" w:themeFillShade="D9"/>
            <w:noWrap/>
          </w:tcPr>
          <w:p w14:paraId="7C2AD061"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115</w:t>
            </w:r>
          </w:p>
        </w:tc>
        <w:tc>
          <w:tcPr>
            <w:tcW w:w="667" w:type="dxa"/>
            <w:noWrap/>
          </w:tcPr>
          <w:p w14:paraId="11891A31"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70</w:t>
            </w:r>
          </w:p>
        </w:tc>
        <w:tc>
          <w:tcPr>
            <w:tcW w:w="667" w:type="dxa"/>
            <w:shd w:val="clear" w:color="auto" w:fill="D9D9D9" w:themeFill="background1" w:themeFillShade="D9"/>
            <w:noWrap/>
          </w:tcPr>
          <w:p w14:paraId="53BE9481"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68</w:t>
            </w:r>
          </w:p>
        </w:tc>
        <w:tc>
          <w:tcPr>
            <w:tcW w:w="667" w:type="dxa"/>
            <w:noWrap/>
          </w:tcPr>
          <w:p w14:paraId="5153F660"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66</w:t>
            </w:r>
          </w:p>
        </w:tc>
        <w:tc>
          <w:tcPr>
            <w:tcW w:w="667" w:type="dxa"/>
            <w:shd w:val="clear" w:color="auto" w:fill="D9D9D9" w:themeFill="background1" w:themeFillShade="D9"/>
            <w:noWrap/>
          </w:tcPr>
          <w:p w14:paraId="1D1F8EBA"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67</w:t>
            </w:r>
          </w:p>
        </w:tc>
      </w:tr>
      <w:tr w:rsidR="008F60CC" w14:paraId="4B31820E" w14:textId="77777777" w:rsidTr="00F73BAF">
        <w:trPr>
          <w:trHeight w:val="255"/>
        </w:trPr>
        <w:tc>
          <w:tcPr>
            <w:tcW w:w="1457" w:type="dxa"/>
            <w:noWrap/>
          </w:tcPr>
          <w:p w14:paraId="1E64F30E" w14:textId="77777777" w:rsidR="008F60CC" w:rsidRPr="004C7F1F" w:rsidRDefault="008F60CC" w:rsidP="00F73BAF">
            <w:pPr>
              <w:spacing w:before="80" w:after="80" w:line="240" w:lineRule="auto"/>
              <w:rPr>
                <w:rFonts w:ascii="Arial" w:eastAsia="Times New Roman" w:hAnsi="Arial" w:cs="Arial"/>
                <w:kern w:val="0"/>
                <w:sz w:val="18"/>
                <w:szCs w:val="18"/>
                <w:lang w:val="el-GR" w:eastAsia="de-DE"/>
                <w14:ligatures w14:val="none"/>
              </w:rPr>
            </w:pPr>
            <w:r w:rsidRPr="004C7F1F">
              <w:rPr>
                <w:rFonts w:ascii="Arial" w:eastAsia="Times New Roman" w:hAnsi="Arial" w:cs="Arial"/>
                <w:kern w:val="0"/>
                <w:sz w:val="18"/>
                <w:szCs w:val="18"/>
                <w:lang w:val="el-GR" w:eastAsia="de-DE"/>
                <w14:ligatures w14:val="none"/>
              </w:rPr>
              <w:t>Άλλες παροχές σε είδος</w:t>
            </w:r>
          </w:p>
        </w:tc>
        <w:tc>
          <w:tcPr>
            <w:tcW w:w="667" w:type="dxa"/>
            <w:shd w:val="clear" w:color="auto" w:fill="D9D9D9" w:themeFill="background1" w:themeFillShade="D9"/>
            <w:noWrap/>
          </w:tcPr>
          <w:p w14:paraId="21CD18BC"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noWrap/>
          </w:tcPr>
          <w:p w14:paraId="543AA40F"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shd w:val="clear" w:color="auto" w:fill="D9D9D9" w:themeFill="background1" w:themeFillShade="D9"/>
            <w:noWrap/>
          </w:tcPr>
          <w:p w14:paraId="68B4C364"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noWrap/>
          </w:tcPr>
          <w:p w14:paraId="79B8BB66"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shd w:val="clear" w:color="auto" w:fill="D9D9D9" w:themeFill="background1" w:themeFillShade="D9"/>
            <w:noWrap/>
          </w:tcPr>
          <w:p w14:paraId="3EFA43B9"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noWrap/>
          </w:tcPr>
          <w:p w14:paraId="2204D9DD"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shd w:val="clear" w:color="auto" w:fill="D9D9D9" w:themeFill="background1" w:themeFillShade="D9"/>
            <w:noWrap/>
          </w:tcPr>
          <w:p w14:paraId="2F26BBF8"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noWrap/>
          </w:tcPr>
          <w:p w14:paraId="7C05D3E9"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shd w:val="clear" w:color="auto" w:fill="D9D9D9" w:themeFill="background1" w:themeFillShade="D9"/>
            <w:noWrap/>
          </w:tcPr>
          <w:p w14:paraId="069F820A"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noWrap/>
          </w:tcPr>
          <w:p w14:paraId="304C7ECB"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shd w:val="clear" w:color="auto" w:fill="D9D9D9" w:themeFill="background1" w:themeFillShade="D9"/>
            <w:noWrap/>
          </w:tcPr>
          <w:p w14:paraId="01A8FE54"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r>
      <w:tr w:rsidR="008F60CC" w14:paraId="22E975E5" w14:textId="77777777" w:rsidTr="00F73BAF">
        <w:trPr>
          <w:trHeight w:val="255"/>
        </w:trPr>
        <w:tc>
          <w:tcPr>
            <w:tcW w:w="1457" w:type="dxa"/>
            <w:noWrap/>
          </w:tcPr>
          <w:p w14:paraId="45572D00" w14:textId="77777777" w:rsidR="008F60CC" w:rsidRPr="004C7F1F" w:rsidRDefault="008F60CC" w:rsidP="00F73BAF">
            <w:pPr>
              <w:spacing w:before="80" w:after="80" w:line="240" w:lineRule="auto"/>
              <w:rPr>
                <w:rFonts w:ascii="Arial" w:eastAsia="Times New Roman" w:hAnsi="Arial" w:cs="Arial"/>
                <w:b/>
                <w:bCs/>
                <w:kern w:val="0"/>
                <w:sz w:val="18"/>
                <w:szCs w:val="18"/>
                <w:lang w:val="el-GR" w:eastAsia="de-DE"/>
                <w14:ligatures w14:val="none"/>
              </w:rPr>
            </w:pPr>
            <w:r w:rsidRPr="004C7F1F">
              <w:rPr>
                <w:rFonts w:ascii="Arial" w:eastAsia="Times New Roman" w:hAnsi="Arial" w:cs="Arial"/>
                <w:b/>
                <w:bCs/>
                <w:kern w:val="0"/>
                <w:sz w:val="18"/>
                <w:szCs w:val="18"/>
                <w:lang w:val="el-GR" w:eastAsia="de-DE"/>
                <w14:ligatures w14:val="none"/>
              </w:rPr>
              <w:t>Με βάση εισοδηματικά κριτήρια (χαμηλά εισοδήματα)</w:t>
            </w:r>
          </w:p>
        </w:tc>
        <w:tc>
          <w:tcPr>
            <w:tcW w:w="667" w:type="dxa"/>
            <w:shd w:val="clear" w:color="auto" w:fill="D9D9D9" w:themeFill="background1" w:themeFillShade="D9"/>
            <w:noWrap/>
          </w:tcPr>
          <w:p w14:paraId="3C663D1B"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132</w:t>
            </w:r>
          </w:p>
        </w:tc>
        <w:tc>
          <w:tcPr>
            <w:tcW w:w="667" w:type="dxa"/>
            <w:noWrap/>
          </w:tcPr>
          <w:p w14:paraId="3943020F"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133</w:t>
            </w:r>
          </w:p>
        </w:tc>
        <w:tc>
          <w:tcPr>
            <w:tcW w:w="667" w:type="dxa"/>
            <w:shd w:val="clear" w:color="auto" w:fill="D9D9D9" w:themeFill="background1" w:themeFillShade="D9"/>
            <w:noWrap/>
          </w:tcPr>
          <w:p w14:paraId="5AB2DDB4"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98</w:t>
            </w:r>
          </w:p>
        </w:tc>
        <w:tc>
          <w:tcPr>
            <w:tcW w:w="667" w:type="dxa"/>
            <w:noWrap/>
          </w:tcPr>
          <w:p w14:paraId="1AF01D95"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39</w:t>
            </w:r>
          </w:p>
        </w:tc>
        <w:tc>
          <w:tcPr>
            <w:tcW w:w="667" w:type="dxa"/>
            <w:shd w:val="clear" w:color="auto" w:fill="D9D9D9" w:themeFill="background1" w:themeFillShade="D9"/>
            <w:noWrap/>
          </w:tcPr>
          <w:p w14:paraId="08AB92C8"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33</w:t>
            </w:r>
          </w:p>
        </w:tc>
        <w:tc>
          <w:tcPr>
            <w:tcW w:w="667" w:type="dxa"/>
            <w:noWrap/>
          </w:tcPr>
          <w:p w14:paraId="392AB83B"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24</w:t>
            </w:r>
          </w:p>
        </w:tc>
        <w:tc>
          <w:tcPr>
            <w:tcW w:w="667" w:type="dxa"/>
            <w:shd w:val="clear" w:color="auto" w:fill="D9D9D9" w:themeFill="background1" w:themeFillShade="D9"/>
            <w:noWrap/>
          </w:tcPr>
          <w:p w14:paraId="36EA8467"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25</w:t>
            </w:r>
          </w:p>
        </w:tc>
        <w:tc>
          <w:tcPr>
            <w:tcW w:w="667" w:type="dxa"/>
            <w:noWrap/>
          </w:tcPr>
          <w:p w14:paraId="5DE63C82"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16</w:t>
            </w:r>
          </w:p>
        </w:tc>
        <w:tc>
          <w:tcPr>
            <w:tcW w:w="667" w:type="dxa"/>
            <w:shd w:val="clear" w:color="auto" w:fill="D9D9D9" w:themeFill="background1" w:themeFillShade="D9"/>
            <w:noWrap/>
          </w:tcPr>
          <w:p w14:paraId="64AC1FF1"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3</w:t>
            </w:r>
          </w:p>
        </w:tc>
        <w:tc>
          <w:tcPr>
            <w:tcW w:w="667" w:type="dxa"/>
            <w:noWrap/>
          </w:tcPr>
          <w:p w14:paraId="3A523CCA"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3</w:t>
            </w:r>
          </w:p>
        </w:tc>
        <w:tc>
          <w:tcPr>
            <w:tcW w:w="667" w:type="dxa"/>
            <w:shd w:val="clear" w:color="auto" w:fill="D9D9D9" w:themeFill="background1" w:themeFillShade="D9"/>
            <w:noWrap/>
          </w:tcPr>
          <w:p w14:paraId="7FF2DBDC" w14:textId="77777777" w:rsidR="008F60CC" w:rsidRDefault="008F60CC" w:rsidP="00F73BAF">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3</w:t>
            </w:r>
          </w:p>
        </w:tc>
      </w:tr>
      <w:tr w:rsidR="008F60CC" w14:paraId="1B116EEE" w14:textId="77777777" w:rsidTr="00F73BAF">
        <w:trPr>
          <w:trHeight w:val="255"/>
        </w:trPr>
        <w:tc>
          <w:tcPr>
            <w:tcW w:w="1457" w:type="dxa"/>
            <w:noWrap/>
          </w:tcPr>
          <w:p w14:paraId="715C861D" w14:textId="77777777" w:rsidR="008F60CC" w:rsidRPr="004C7F1F" w:rsidRDefault="008F60CC" w:rsidP="00F73BAF">
            <w:pPr>
              <w:spacing w:before="80" w:after="80" w:line="240" w:lineRule="auto"/>
              <w:rPr>
                <w:rFonts w:ascii="Arial" w:eastAsia="Times New Roman" w:hAnsi="Arial" w:cs="Arial"/>
                <w:kern w:val="0"/>
                <w:sz w:val="18"/>
                <w:szCs w:val="18"/>
                <w:lang w:val="el-GR" w:eastAsia="de-DE"/>
                <w14:ligatures w14:val="none"/>
              </w:rPr>
            </w:pPr>
            <w:r w:rsidRPr="004C7F1F">
              <w:rPr>
                <w:rFonts w:ascii="Arial" w:eastAsia="Times New Roman" w:hAnsi="Arial" w:cs="Arial"/>
                <w:kern w:val="0"/>
                <w:sz w:val="18"/>
                <w:szCs w:val="18"/>
                <w:lang w:val="el-GR" w:eastAsia="de-DE"/>
                <w14:ligatures w14:val="none"/>
              </w:rPr>
              <w:t>Παροχές σε χρήμα</w:t>
            </w:r>
          </w:p>
        </w:tc>
        <w:tc>
          <w:tcPr>
            <w:tcW w:w="667" w:type="dxa"/>
            <w:shd w:val="clear" w:color="auto" w:fill="D9D9D9" w:themeFill="background1" w:themeFillShade="D9"/>
            <w:noWrap/>
          </w:tcPr>
          <w:p w14:paraId="05920205"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111</w:t>
            </w:r>
          </w:p>
        </w:tc>
        <w:tc>
          <w:tcPr>
            <w:tcW w:w="667" w:type="dxa"/>
            <w:noWrap/>
          </w:tcPr>
          <w:p w14:paraId="4D643A7B"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102</w:t>
            </w:r>
          </w:p>
        </w:tc>
        <w:tc>
          <w:tcPr>
            <w:tcW w:w="667" w:type="dxa"/>
            <w:shd w:val="clear" w:color="auto" w:fill="D9D9D9" w:themeFill="background1" w:themeFillShade="D9"/>
            <w:noWrap/>
          </w:tcPr>
          <w:p w14:paraId="19245129"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71</w:t>
            </w:r>
          </w:p>
        </w:tc>
        <w:tc>
          <w:tcPr>
            <w:tcW w:w="667" w:type="dxa"/>
            <w:noWrap/>
          </w:tcPr>
          <w:p w14:paraId="214A4885"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17</w:t>
            </w:r>
          </w:p>
        </w:tc>
        <w:tc>
          <w:tcPr>
            <w:tcW w:w="667" w:type="dxa"/>
            <w:shd w:val="clear" w:color="auto" w:fill="D9D9D9" w:themeFill="background1" w:themeFillShade="D9"/>
            <w:noWrap/>
          </w:tcPr>
          <w:p w14:paraId="39CCD9C1"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11</w:t>
            </w:r>
          </w:p>
        </w:tc>
        <w:tc>
          <w:tcPr>
            <w:tcW w:w="667" w:type="dxa"/>
            <w:noWrap/>
          </w:tcPr>
          <w:p w14:paraId="02CA86E0"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4</w:t>
            </w:r>
          </w:p>
        </w:tc>
        <w:tc>
          <w:tcPr>
            <w:tcW w:w="667" w:type="dxa"/>
            <w:shd w:val="clear" w:color="auto" w:fill="D9D9D9" w:themeFill="background1" w:themeFillShade="D9"/>
            <w:noWrap/>
          </w:tcPr>
          <w:p w14:paraId="2EA4F6F9"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w:t>
            </w:r>
          </w:p>
        </w:tc>
        <w:tc>
          <w:tcPr>
            <w:tcW w:w="667" w:type="dxa"/>
            <w:noWrap/>
          </w:tcPr>
          <w:p w14:paraId="09A37FC3"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shd w:val="clear" w:color="auto" w:fill="D9D9D9" w:themeFill="background1" w:themeFillShade="D9"/>
            <w:noWrap/>
          </w:tcPr>
          <w:p w14:paraId="60690307"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noWrap/>
          </w:tcPr>
          <w:p w14:paraId="37A5FD4F"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shd w:val="clear" w:color="auto" w:fill="D9D9D9" w:themeFill="background1" w:themeFillShade="D9"/>
            <w:noWrap/>
          </w:tcPr>
          <w:p w14:paraId="75F38A66"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r>
      <w:tr w:rsidR="008F60CC" w14:paraId="3EC11C01" w14:textId="77777777" w:rsidTr="00F73BAF">
        <w:trPr>
          <w:trHeight w:val="255"/>
        </w:trPr>
        <w:tc>
          <w:tcPr>
            <w:tcW w:w="1457" w:type="dxa"/>
            <w:noWrap/>
          </w:tcPr>
          <w:p w14:paraId="06D96E51" w14:textId="77777777" w:rsidR="008F60CC" w:rsidRPr="004C7F1F" w:rsidRDefault="008F60CC" w:rsidP="00F73BAF">
            <w:pPr>
              <w:spacing w:before="80" w:after="80" w:line="240" w:lineRule="auto"/>
              <w:rPr>
                <w:rFonts w:ascii="Arial" w:eastAsia="Times New Roman" w:hAnsi="Arial" w:cs="Arial"/>
                <w:kern w:val="0"/>
                <w:sz w:val="18"/>
                <w:szCs w:val="18"/>
                <w:lang w:val="el-GR" w:eastAsia="de-DE"/>
                <w14:ligatures w14:val="none"/>
              </w:rPr>
            </w:pPr>
            <w:r w:rsidRPr="004C7F1F">
              <w:rPr>
                <w:rFonts w:ascii="Arial" w:eastAsia="Times New Roman" w:hAnsi="Arial" w:cs="Arial"/>
                <w:kern w:val="0"/>
                <w:sz w:val="18"/>
                <w:szCs w:val="18"/>
                <w:lang w:val="el-GR" w:eastAsia="de-DE"/>
                <w14:ligatures w14:val="none"/>
              </w:rPr>
              <w:t>Παροχές σε είδος</w:t>
            </w:r>
          </w:p>
        </w:tc>
        <w:tc>
          <w:tcPr>
            <w:tcW w:w="667" w:type="dxa"/>
            <w:shd w:val="clear" w:color="auto" w:fill="D9D9D9" w:themeFill="background1" w:themeFillShade="D9"/>
            <w:noWrap/>
          </w:tcPr>
          <w:p w14:paraId="5E69C256"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21</w:t>
            </w:r>
          </w:p>
        </w:tc>
        <w:tc>
          <w:tcPr>
            <w:tcW w:w="667" w:type="dxa"/>
            <w:noWrap/>
          </w:tcPr>
          <w:p w14:paraId="1A513DD4"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31</w:t>
            </w:r>
          </w:p>
        </w:tc>
        <w:tc>
          <w:tcPr>
            <w:tcW w:w="667" w:type="dxa"/>
            <w:shd w:val="clear" w:color="auto" w:fill="D9D9D9" w:themeFill="background1" w:themeFillShade="D9"/>
            <w:noWrap/>
          </w:tcPr>
          <w:p w14:paraId="39BDA6AA"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27</w:t>
            </w:r>
          </w:p>
        </w:tc>
        <w:tc>
          <w:tcPr>
            <w:tcW w:w="667" w:type="dxa"/>
            <w:noWrap/>
          </w:tcPr>
          <w:p w14:paraId="3BAF8786"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21</w:t>
            </w:r>
          </w:p>
        </w:tc>
        <w:tc>
          <w:tcPr>
            <w:tcW w:w="667" w:type="dxa"/>
            <w:shd w:val="clear" w:color="auto" w:fill="D9D9D9" w:themeFill="background1" w:themeFillShade="D9"/>
            <w:noWrap/>
          </w:tcPr>
          <w:p w14:paraId="57EEE942"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22</w:t>
            </w:r>
          </w:p>
        </w:tc>
        <w:tc>
          <w:tcPr>
            <w:tcW w:w="667" w:type="dxa"/>
            <w:noWrap/>
          </w:tcPr>
          <w:p w14:paraId="0377710E"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20</w:t>
            </w:r>
          </w:p>
        </w:tc>
        <w:tc>
          <w:tcPr>
            <w:tcW w:w="667" w:type="dxa"/>
            <w:shd w:val="clear" w:color="auto" w:fill="D9D9D9" w:themeFill="background1" w:themeFillShade="D9"/>
            <w:noWrap/>
          </w:tcPr>
          <w:p w14:paraId="1838E507"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24</w:t>
            </w:r>
          </w:p>
        </w:tc>
        <w:tc>
          <w:tcPr>
            <w:tcW w:w="667" w:type="dxa"/>
            <w:noWrap/>
          </w:tcPr>
          <w:p w14:paraId="59B70732"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15</w:t>
            </w:r>
          </w:p>
        </w:tc>
        <w:tc>
          <w:tcPr>
            <w:tcW w:w="667" w:type="dxa"/>
            <w:shd w:val="clear" w:color="auto" w:fill="D9D9D9" w:themeFill="background1" w:themeFillShade="D9"/>
            <w:noWrap/>
          </w:tcPr>
          <w:p w14:paraId="5D9BF835"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3</w:t>
            </w:r>
          </w:p>
        </w:tc>
        <w:tc>
          <w:tcPr>
            <w:tcW w:w="667" w:type="dxa"/>
            <w:noWrap/>
          </w:tcPr>
          <w:p w14:paraId="438DEA70"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3</w:t>
            </w:r>
          </w:p>
        </w:tc>
        <w:tc>
          <w:tcPr>
            <w:tcW w:w="667" w:type="dxa"/>
            <w:shd w:val="clear" w:color="auto" w:fill="D9D9D9" w:themeFill="background1" w:themeFillShade="D9"/>
            <w:noWrap/>
          </w:tcPr>
          <w:p w14:paraId="366794B8" w14:textId="77777777" w:rsidR="008F60CC" w:rsidRDefault="008F60CC" w:rsidP="00F73BAF">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3</w:t>
            </w:r>
          </w:p>
        </w:tc>
      </w:tr>
    </w:tbl>
    <w:p w14:paraId="115C1EF1" w14:textId="75FA8475" w:rsidR="008F60CC" w:rsidRPr="008F60CC" w:rsidRDefault="008F60CC" w:rsidP="008F60CC">
      <w:pPr>
        <w:pStyle w:val="Caption"/>
        <w:spacing w:before="240" w:after="0"/>
        <w:jc w:val="center"/>
        <w:rPr>
          <w:rFonts w:asciiTheme="majorHAnsi" w:hAnsiTheme="majorHAnsi" w:cstheme="majorHAnsi"/>
          <w:color w:val="1C6194" w:themeColor="accent2" w:themeShade="BF"/>
          <w:lang w:val="el-GR"/>
        </w:rPr>
      </w:pPr>
      <w:r w:rsidRPr="008F60CC">
        <w:rPr>
          <w:rFonts w:asciiTheme="majorHAnsi" w:hAnsiTheme="majorHAnsi" w:cstheme="majorHAnsi"/>
          <w:b/>
          <w:bCs/>
          <w:color w:val="1C6194" w:themeColor="accent2" w:themeShade="BF"/>
          <w:lang w:val="el-GR"/>
        </w:rPr>
        <w:t>Πηγή</w:t>
      </w:r>
      <w:r w:rsidRPr="008F60CC">
        <w:rPr>
          <w:rFonts w:asciiTheme="majorHAnsi" w:hAnsiTheme="majorHAnsi" w:cstheme="majorHAnsi"/>
          <w:color w:val="1C6194" w:themeColor="accent2" w:themeShade="BF"/>
          <w:lang w:val="el-GR"/>
        </w:rPr>
        <w:t xml:space="preserve">: Ελληνική Στατιστική Αρχή, Ευρωπαϊκό Σύστημα Ολοκληρωμένων Στατιστικών Κοινωνικής Προστασίας (ESSPROS). </w:t>
      </w:r>
      <w:r w:rsidRPr="008F60CC">
        <w:rPr>
          <w:rFonts w:asciiTheme="majorHAnsi" w:hAnsiTheme="majorHAnsi" w:cstheme="majorHAnsi"/>
          <w:b/>
          <w:bCs/>
          <w:color w:val="1C6194" w:themeColor="accent2" w:themeShade="BF"/>
          <w:lang w:val="el-GR"/>
        </w:rPr>
        <w:t>Επεξεργασία</w:t>
      </w:r>
      <w:r w:rsidRPr="008F60CC">
        <w:rPr>
          <w:rFonts w:asciiTheme="majorHAnsi" w:hAnsiTheme="majorHAnsi" w:cstheme="majorHAnsi"/>
          <w:color w:val="1C6194" w:themeColor="accent2" w:themeShade="BF"/>
          <w:lang w:val="el-GR"/>
        </w:rPr>
        <w:t>: Παρατηρητήριο Θεμάτων Αναπηρίας-Ε.Σ.Α.μεΑ.</w:t>
      </w:r>
    </w:p>
    <w:bookmarkEnd w:id="44"/>
    <w:p w14:paraId="161BCF75" w14:textId="77777777" w:rsidR="008F60CC" w:rsidRDefault="008F60CC" w:rsidP="008F60CC">
      <w:pPr>
        <w:spacing w:after="0" w:line="240" w:lineRule="auto"/>
        <w:rPr>
          <w:sz w:val="24"/>
          <w:szCs w:val="24"/>
          <w:lang w:val="el-GR"/>
        </w:rPr>
      </w:pPr>
      <w:r>
        <w:rPr>
          <w:sz w:val="24"/>
          <w:szCs w:val="24"/>
          <w:lang w:val="el-GR"/>
        </w:rPr>
        <w:br w:type="page"/>
      </w:r>
    </w:p>
    <w:p w14:paraId="43F26F0E" w14:textId="77777777" w:rsidR="008F60CC" w:rsidRPr="008F60CC" w:rsidRDefault="008F60CC" w:rsidP="008F60CC">
      <w:pPr>
        <w:jc w:val="both"/>
        <w:rPr>
          <w:rFonts w:ascii="Constantia" w:hAnsi="Constantia"/>
          <w:sz w:val="24"/>
          <w:szCs w:val="24"/>
          <w:lang w:val="el-GR"/>
        </w:rPr>
      </w:pPr>
      <w:r w:rsidRPr="008F60CC">
        <w:rPr>
          <w:rFonts w:ascii="Constantia" w:hAnsi="Constantia"/>
          <w:sz w:val="24"/>
          <w:szCs w:val="24"/>
          <w:lang w:val="el-GR"/>
        </w:rPr>
        <w:lastRenderedPageBreak/>
        <w:t xml:space="preserve">Η εξέλιξη των αναλυτικών παροχών φανερώνει ότι η μεγάλη αυτή συρρίκνωση, αποτελεί κυρίως απόρροια των μειώσεων στη συνταξιοδοτική δαπάνη. Τέλος, όπως γίνεται φανερό στο </w:t>
      </w:r>
      <w:r w:rsidRPr="008F60CC">
        <w:rPr>
          <w:rFonts w:ascii="Constantia" w:hAnsi="Constantia"/>
          <w:color w:val="1C6194" w:themeColor="accent2" w:themeShade="BF"/>
          <w:sz w:val="24"/>
          <w:szCs w:val="24"/>
          <w:lang w:val="el-GR"/>
        </w:rPr>
        <w:fldChar w:fldCharType="begin"/>
      </w:r>
      <w:r w:rsidRPr="008F60CC">
        <w:rPr>
          <w:rFonts w:ascii="Constantia" w:hAnsi="Constantia"/>
          <w:color w:val="1C6194" w:themeColor="accent2" w:themeShade="BF"/>
          <w:sz w:val="24"/>
          <w:szCs w:val="24"/>
          <w:lang w:val="el-GR"/>
        </w:rPr>
        <w:instrText xml:space="preserve"> REF _Ref202284518 \h  \* MERGEFORMAT </w:instrText>
      </w:r>
      <w:r w:rsidRPr="008F60CC">
        <w:rPr>
          <w:rFonts w:ascii="Constantia" w:hAnsi="Constantia"/>
          <w:color w:val="1C6194" w:themeColor="accent2" w:themeShade="BF"/>
          <w:sz w:val="24"/>
          <w:szCs w:val="24"/>
          <w:lang w:val="el-GR"/>
        </w:rPr>
      </w:r>
      <w:r w:rsidRPr="008F60CC">
        <w:rPr>
          <w:rFonts w:ascii="Constantia" w:hAnsi="Constantia"/>
          <w:color w:val="1C6194" w:themeColor="accent2" w:themeShade="BF"/>
          <w:sz w:val="24"/>
          <w:szCs w:val="24"/>
          <w:lang w:val="el-GR"/>
        </w:rPr>
        <w:fldChar w:fldCharType="separate"/>
      </w:r>
      <w:r w:rsidRPr="008F60CC">
        <w:rPr>
          <w:rFonts w:ascii="Constantia" w:hAnsi="Constantia" w:cstheme="majorHAnsi"/>
          <w:color w:val="1C6194" w:themeColor="accent2" w:themeShade="BF"/>
          <w:sz w:val="24"/>
          <w:szCs w:val="24"/>
          <w:lang w:val="el-GR"/>
        </w:rPr>
        <w:t>Γράφημα 8</w:t>
      </w:r>
      <w:r w:rsidRPr="008F60CC">
        <w:rPr>
          <w:rFonts w:ascii="Constantia" w:hAnsi="Constantia"/>
          <w:color w:val="1C6194" w:themeColor="accent2" w:themeShade="BF"/>
          <w:sz w:val="24"/>
          <w:szCs w:val="24"/>
          <w:lang w:val="el-GR"/>
        </w:rPr>
        <w:fldChar w:fldCharType="end"/>
      </w:r>
      <w:r w:rsidRPr="008F60CC">
        <w:rPr>
          <w:rFonts w:ascii="Constantia" w:hAnsi="Constantia"/>
          <w:sz w:val="24"/>
          <w:szCs w:val="24"/>
          <w:lang w:val="el-GR"/>
        </w:rPr>
        <w:t>, και το πλήθος των δικαιούχων αναπηρικής σύνταξης καταγράφει συνεχόμενη μείωση από το 2015 και έκτοτε. Συνολικά κατά το διάστημα 2015-2022 καταγράφονται 26.870 λιγότεροι δικαιούχοι, δηλαδή σημειώνεται μείωση της τάξεως του 20%.</w:t>
      </w:r>
    </w:p>
    <w:p w14:paraId="469B44BA" w14:textId="77777777" w:rsidR="008F60CC" w:rsidRPr="008F60CC" w:rsidRDefault="008F60CC" w:rsidP="008F60CC">
      <w:pPr>
        <w:pStyle w:val="Caption"/>
        <w:spacing w:before="360" w:after="120"/>
        <w:ind w:right="-2"/>
        <w:jc w:val="center"/>
        <w:rPr>
          <w:i w:val="0"/>
          <w:iCs w:val="0"/>
          <w:color w:val="1C6194" w:themeColor="accent2" w:themeShade="BF"/>
          <w:lang w:val="el-GR"/>
        </w:rPr>
      </w:pPr>
      <w:bookmarkStart w:id="45" w:name="_Ref202284518"/>
      <w:bookmarkStart w:id="46" w:name="_Toc201687256"/>
      <w:bookmarkStart w:id="47" w:name="_Toc222493362"/>
      <w:r w:rsidRPr="008F60CC">
        <w:rPr>
          <w:rFonts w:asciiTheme="majorHAnsi" w:hAnsiTheme="majorHAnsi" w:cstheme="majorHAnsi"/>
          <w:b/>
          <w:bCs/>
          <w:i w:val="0"/>
          <w:iCs w:val="0"/>
          <w:color w:val="1C6194" w:themeColor="accent2" w:themeShade="BF"/>
          <w:sz w:val="24"/>
          <w:szCs w:val="24"/>
          <w:lang w:val="el-GR"/>
        </w:rPr>
        <w:t xml:space="preserve">Γράφημα </w:t>
      </w:r>
      <w:r w:rsidRPr="008F60CC">
        <w:rPr>
          <w:rFonts w:asciiTheme="majorHAnsi" w:hAnsiTheme="majorHAnsi" w:cstheme="majorHAnsi"/>
          <w:b/>
          <w:bCs/>
          <w:i w:val="0"/>
          <w:iCs w:val="0"/>
          <w:color w:val="1C6194" w:themeColor="accent2" w:themeShade="BF"/>
          <w:sz w:val="24"/>
          <w:szCs w:val="24"/>
          <w:lang w:val="el-GR"/>
        </w:rPr>
        <w:fldChar w:fldCharType="begin"/>
      </w:r>
      <w:r w:rsidRPr="008F60CC">
        <w:rPr>
          <w:rFonts w:asciiTheme="majorHAnsi" w:hAnsiTheme="majorHAnsi" w:cstheme="majorHAnsi"/>
          <w:b/>
          <w:bCs/>
          <w:i w:val="0"/>
          <w:iCs w:val="0"/>
          <w:color w:val="1C6194" w:themeColor="accent2" w:themeShade="BF"/>
          <w:sz w:val="24"/>
          <w:szCs w:val="24"/>
          <w:lang w:val="el-GR"/>
        </w:rPr>
        <w:instrText xml:space="preserve"> SEQ Γράφημα \* ARABIC </w:instrText>
      </w:r>
      <w:r w:rsidRPr="008F60CC">
        <w:rPr>
          <w:rFonts w:asciiTheme="majorHAnsi" w:hAnsiTheme="majorHAnsi" w:cstheme="majorHAnsi"/>
          <w:b/>
          <w:bCs/>
          <w:i w:val="0"/>
          <w:iCs w:val="0"/>
          <w:color w:val="1C6194" w:themeColor="accent2" w:themeShade="BF"/>
          <w:sz w:val="24"/>
          <w:szCs w:val="24"/>
          <w:lang w:val="el-GR"/>
        </w:rPr>
        <w:fldChar w:fldCharType="separate"/>
      </w:r>
      <w:r w:rsidRPr="008F60CC">
        <w:rPr>
          <w:rFonts w:asciiTheme="majorHAnsi" w:hAnsiTheme="majorHAnsi" w:cstheme="majorHAnsi"/>
          <w:b/>
          <w:bCs/>
          <w:i w:val="0"/>
          <w:iCs w:val="0"/>
          <w:color w:val="1C6194" w:themeColor="accent2" w:themeShade="BF"/>
          <w:sz w:val="24"/>
          <w:szCs w:val="24"/>
          <w:lang w:val="el-GR"/>
        </w:rPr>
        <w:t>8</w:t>
      </w:r>
      <w:r w:rsidRPr="008F60CC">
        <w:rPr>
          <w:rFonts w:asciiTheme="majorHAnsi" w:hAnsiTheme="majorHAnsi" w:cstheme="majorHAnsi"/>
          <w:b/>
          <w:bCs/>
          <w:i w:val="0"/>
          <w:iCs w:val="0"/>
          <w:color w:val="1C6194" w:themeColor="accent2" w:themeShade="BF"/>
          <w:sz w:val="24"/>
          <w:szCs w:val="24"/>
          <w:lang w:val="el-GR"/>
        </w:rPr>
        <w:fldChar w:fldCharType="end"/>
      </w:r>
      <w:bookmarkEnd w:id="45"/>
      <w:r w:rsidRPr="008F60CC">
        <w:rPr>
          <w:rFonts w:asciiTheme="majorHAnsi" w:hAnsiTheme="majorHAnsi" w:cstheme="majorHAnsi"/>
          <w:i w:val="0"/>
          <w:iCs w:val="0"/>
          <w:color w:val="1C6194" w:themeColor="accent2" w:themeShade="BF"/>
          <w:sz w:val="24"/>
          <w:szCs w:val="24"/>
          <w:lang w:val="el-GR"/>
        </w:rPr>
        <w:t>: Δικαιούχοι σύνταξης αναπηρίας στην Ελλάδα (2013-2022)</w:t>
      </w:r>
      <w:bookmarkEnd w:id="46"/>
      <w:bookmarkEnd w:id="47"/>
    </w:p>
    <w:p w14:paraId="4DA868D7" w14:textId="77777777" w:rsidR="008F60CC" w:rsidRDefault="008F60CC" w:rsidP="008F60CC">
      <w:pPr>
        <w:rPr>
          <w:b/>
          <w:iCs/>
        </w:rPr>
      </w:pPr>
      <w:r>
        <w:rPr>
          <w:noProof/>
          <w:lang w:val="el-GR" w:eastAsia="el-GR"/>
        </w:rPr>
        <w:drawing>
          <wp:inline distT="0" distB="0" distL="0" distR="0" wp14:anchorId="47C75371" wp14:editId="44D8E1CE">
            <wp:extent cx="5579745" cy="3580130"/>
            <wp:effectExtent l="0" t="0" r="1905" b="1270"/>
            <wp:docPr id="1179217915" name="Chart 1" descr="114.376 το 2013, 127.279 το 2014, 132.562 το 2015, 126.797 το 2016, 122.178 το 2017, 121.612 το 2018, 117.576 το 2019, 113.064 το 2020, 108.173 το 2021, 105.692 το 2022.">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0CACEB4" w14:textId="77777777" w:rsidR="008F60CC" w:rsidRPr="008F60CC" w:rsidRDefault="008F60CC" w:rsidP="008F60CC">
      <w:pPr>
        <w:pStyle w:val="Caption"/>
        <w:spacing w:before="240" w:after="0"/>
        <w:jc w:val="center"/>
        <w:rPr>
          <w:rFonts w:asciiTheme="majorHAnsi" w:hAnsiTheme="majorHAnsi" w:cstheme="majorHAnsi"/>
          <w:color w:val="1C6194" w:themeColor="accent2" w:themeShade="BF"/>
        </w:rPr>
      </w:pPr>
      <w:r w:rsidRPr="008F60CC">
        <w:rPr>
          <w:rFonts w:asciiTheme="majorHAnsi" w:hAnsiTheme="majorHAnsi" w:cstheme="majorHAnsi"/>
          <w:b/>
          <w:bCs/>
          <w:color w:val="1C6194" w:themeColor="accent2" w:themeShade="BF"/>
          <w:lang w:val="el-GR"/>
        </w:rPr>
        <w:t>Πηγή</w:t>
      </w:r>
      <w:r w:rsidRPr="008F60CC">
        <w:rPr>
          <w:rFonts w:asciiTheme="majorHAnsi" w:hAnsiTheme="majorHAnsi" w:cstheme="majorHAnsi"/>
          <w:color w:val="1C6194" w:themeColor="accent2" w:themeShade="BF"/>
        </w:rPr>
        <w:t>: Eurostat, European System of Integrated Social Protection Statistics/ESSPROS)</w:t>
      </w:r>
      <w:r w:rsidRPr="008F60CC">
        <w:rPr>
          <w:rFonts w:asciiTheme="majorHAnsi" w:hAnsiTheme="majorHAnsi" w:cstheme="majorHAnsi"/>
          <w:color w:val="1C6194" w:themeColor="accent2" w:themeShade="BF"/>
        </w:rPr>
        <w:br/>
      </w:r>
      <w:r w:rsidRPr="008F60CC">
        <w:rPr>
          <w:rFonts w:asciiTheme="majorHAnsi" w:hAnsiTheme="majorHAnsi" w:cstheme="majorHAnsi"/>
          <w:b/>
          <w:bCs/>
          <w:color w:val="1C6194" w:themeColor="accent2" w:themeShade="BF"/>
          <w:lang w:val="el-GR"/>
        </w:rPr>
        <w:t>Επεξεργασία</w:t>
      </w:r>
      <w:r w:rsidRPr="008F60CC">
        <w:rPr>
          <w:rFonts w:asciiTheme="majorHAnsi" w:hAnsiTheme="majorHAnsi" w:cstheme="majorHAnsi"/>
          <w:color w:val="1C6194" w:themeColor="accent2" w:themeShade="BF"/>
        </w:rPr>
        <w:t xml:space="preserve">: </w:t>
      </w:r>
      <w:r w:rsidRPr="008F60CC">
        <w:rPr>
          <w:rFonts w:asciiTheme="majorHAnsi" w:hAnsiTheme="majorHAnsi" w:cstheme="majorHAnsi"/>
          <w:color w:val="1C6194" w:themeColor="accent2" w:themeShade="BF"/>
          <w:lang w:val="el-GR"/>
        </w:rPr>
        <w:t>Παρατηρητήριο</w:t>
      </w:r>
      <w:r w:rsidRPr="008F60CC">
        <w:rPr>
          <w:rFonts w:asciiTheme="majorHAnsi" w:hAnsiTheme="majorHAnsi" w:cstheme="majorHAnsi"/>
          <w:color w:val="1C6194" w:themeColor="accent2" w:themeShade="BF"/>
        </w:rPr>
        <w:t xml:space="preserve"> </w:t>
      </w:r>
      <w:r w:rsidRPr="008F60CC">
        <w:rPr>
          <w:rFonts w:asciiTheme="majorHAnsi" w:hAnsiTheme="majorHAnsi" w:cstheme="majorHAnsi"/>
          <w:color w:val="1C6194" w:themeColor="accent2" w:themeShade="BF"/>
          <w:lang w:val="el-GR"/>
        </w:rPr>
        <w:t>Θεμάτων</w:t>
      </w:r>
      <w:r w:rsidRPr="008F60CC">
        <w:rPr>
          <w:rFonts w:asciiTheme="majorHAnsi" w:hAnsiTheme="majorHAnsi" w:cstheme="majorHAnsi"/>
          <w:color w:val="1C6194" w:themeColor="accent2" w:themeShade="BF"/>
        </w:rPr>
        <w:t xml:space="preserve"> </w:t>
      </w:r>
      <w:r w:rsidRPr="008F60CC">
        <w:rPr>
          <w:rFonts w:asciiTheme="majorHAnsi" w:hAnsiTheme="majorHAnsi" w:cstheme="majorHAnsi"/>
          <w:color w:val="1C6194" w:themeColor="accent2" w:themeShade="BF"/>
          <w:lang w:val="el-GR"/>
        </w:rPr>
        <w:t>Αναπηρίας</w:t>
      </w:r>
      <w:r w:rsidRPr="008F60CC">
        <w:rPr>
          <w:rFonts w:asciiTheme="majorHAnsi" w:hAnsiTheme="majorHAnsi" w:cstheme="majorHAnsi"/>
          <w:color w:val="1C6194" w:themeColor="accent2" w:themeShade="BF"/>
        </w:rPr>
        <w:t xml:space="preserve">- </w:t>
      </w:r>
      <w:r w:rsidRPr="008F60CC">
        <w:rPr>
          <w:rFonts w:asciiTheme="majorHAnsi" w:hAnsiTheme="majorHAnsi" w:cstheme="majorHAnsi"/>
          <w:color w:val="1C6194" w:themeColor="accent2" w:themeShade="BF"/>
          <w:lang w:val="el-GR"/>
        </w:rPr>
        <w:t>Ε</w:t>
      </w:r>
      <w:r w:rsidRPr="008F60CC">
        <w:rPr>
          <w:rFonts w:asciiTheme="majorHAnsi" w:hAnsiTheme="majorHAnsi" w:cstheme="majorHAnsi"/>
          <w:color w:val="1C6194" w:themeColor="accent2" w:themeShade="BF"/>
        </w:rPr>
        <w:t>.</w:t>
      </w:r>
      <w:r w:rsidRPr="008F60CC">
        <w:rPr>
          <w:rFonts w:asciiTheme="majorHAnsi" w:hAnsiTheme="majorHAnsi" w:cstheme="majorHAnsi"/>
          <w:color w:val="1C6194" w:themeColor="accent2" w:themeShade="BF"/>
          <w:lang w:val="el-GR"/>
        </w:rPr>
        <w:t>Σ</w:t>
      </w:r>
      <w:r w:rsidRPr="008F60CC">
        <w:rPr>
          <w:rFonts w:asciiTheme="majorHAnsi" w:hAnsiTheme="majorHAnsi" w:cstheme="majorHAnsi"/>
          <w:color w:val="1C6194" w:themeColor="accent2" w:themeShade="BF"/>
        </w:rPr>
        <w:t>.</w:t>
      </w:r>
      <w:r w:rsidRPr="008F60CC">
        <w:rPr>
          <w:rFonts w:asciiTheme="majorHAnsi" w:hAnsiTheme="majorHAnsi" w:cstheme="majorHAnsi"/>
          <w:color w:val="1C6194" w:themeColor="accent2" w:themeShade="BF"/>
          <w:lang w:val="el-GR"/>
        </w:rPr>
        <w:t>Α</w:t>
      </w:r>
      <w:r w:rsidRPr="008F60CC">
        <w:rPr>
          <w:rFonts w:asciiTheme="majorHAnsi" w:hAnsiTheme="majorHAnsi" w:cstheme="majorHAnsi"/>
          <w:color w:val="1C6194" w:themeColor="accent2" w:themeShade="BF"/>
        </w:rPr>
        <w:t>.</w:t>
      </w:r>
      <w:proofErr w:type="spellStart"/>
      <w:r w:rsidRPr="008F60CC">
        <w:rPr>
          <w:rFonts w:asciiTheme="majorHAnsi" w:hAnsiTheme="majorHAnsi" w:cstheme="majorHAnsi"/>
          <w:color w:val="1C6194" w:themeColor="accent2" w:themeShade="BF"/>
          <w:lang w:val="el-GR"/>
        </w:rPr>
        <w:t>μεΑ</w:t>
      </w:r>
      <w:proofErr w:type="spellEnd"/>
      <w:r w:rsidRPr="008F60CC">
        <w:rPr>
          <w:rFonts w:asciiTheme="majorHAnsi" w:hAnsiTheme="majorHAnsi" w:cstheme="majorHAnsi"/>
          <w:color w:val="1C6194" w:themeColor="accent2" w:themeShade="BF"/>
        </w:rPr>
        <w:t>.</w:t>
      </w:r>
    </w:p>
    <w:p w14:paraId="0F68BDFD" w14:textId="77777777" w:rsidR="008F60CC" w:rsidRPr="0001190B" w:rsidRDefault="008F60CC" w:rsidP="008F60CC">
      <w:pPr>
        <w:spacing w:after="0" w:line="240" w:lineRule="auto"/>
      </w:pPr>
      <w:r w:rsidRPr="0001190B">
        <w:br w:type="page"/>
      </w:r>
    </w:p>
    <w:p w14:paraId="404D4A48" w14:textId="77777777" w:rsidR="008F60CC" w:rsidRDefault="008F60CC" w:rsidP="008F60CC">
      <w:pPr>
        <w:pStyle w:val="Heading2"/>
        <w:tabs>
          <w:tab w:val="left" w:pos="360"/>
        </w:tabs>
        <w:spacing w:before="360" w:after="240"/>
        <w:ind w:left="426" w:right="-142" w:hanging="426"/>
      </w:pPr>
      <w:bookmarkStart w:id="48" w:name="_Toc17723"/>
      <w:bookmarkStart w:id="49" w:name="_Toc222493321"/>
      <w:r>
        <w:lastRenderedPageBreak/>
        <w:t>Αποτελεσματικότητα των κοινωνικών παροχών για την αναπηρία στη μείωση της φτώχειας των ατόμων με αναπηρία</w:t>
      </w:r>
      <w:bookmarkEnd w:id="48"/>
      <w:bookmarkEnd w:id="49"/>
    </w:p>
    <w:p w14:paraId="70278EE9" w14:textId="77777777" w:rsidR="008F60CC" w:rsidRPr="008F60CC" w:rsidRDefault="008F60CC" w:rsidP="008F60CC">
      <w:pPr>
        <w:jc w:val="both"/>
        <w:rPr>
          <w:rFonts w:ascii="Constantia" w:hAnsi="Constantia"/>
          <w:sz w:val="24"/>
          <w:szCs w:val="24"/>
          <w:lang w:val="el-GR"/>
        </w:rPr>
      </w:pPr>
      <w:r w:rsidRPr="008F60CC">
        <w:rPr>
          <w:rFonts w:ascii="Constantia" w:hAnsi="Constantia"/>
          <w:sz w:val="24"/>
          <w:szCs w:val="24"/>
          <w:lang w:val="el-GR"/>
        </w:rPr>
        <w:t xml:space="preserve">Στο πλαίσιο του Δελτίου αναλύσαμε τον </w:t>
      </w:r>
      <w:bookmarkStart w:id="50" w:name="_Hlk201569603"/>
      <w:r w:rsidRPr="008F60CC">
        <w:rPr>
          <w:rFonts w:ascii="Constantia" w:hAnsi="Constantia"/>
          <w:sz w:val="24"/>
          <w:szCs w:val="24"/>
          <w:lang w:val="el-GR"/>
        </w:rPr>
        <w:t xml:space="preserve">δείκτη «Αποτελεσματικότητα των κοινωνικών παροχών στη μείωση της φτώχειας» εστιάζοντας στην πληθυσμιακή ομάδα των ατόμων με αναπηρία και στο ηλικιακό εύρος 16-64 ετών καθώς: τα αντίστοιχα διαθέσιμα δεδομένα της </w:t>
      </w:r>
      <w:r w:rsidRPr="008F60CC">
        <w:rPr>
          <w:rFonts w:ascii="Constantia" w:hAnsi="Constantia"/>
          <w:sz w:val="24"/>
          <w:szCs w:val="24"/>
        </w:rPr>
        <w:t>Eurostat</w:t>
      </w:r>
      <w:r w:rsidRPr="008F60CC">
        <w:rPr>
          <w:rFonts w:ascii="Constantia" w:hAnsi="Constantia"/>
          <w:sz w:val="24"/>
          <w:szCs w:val="24"/>
          <w:lang w:val="el-GR"/>
        </w:rPr>
        <w:t xml:space="preserve"> για τα άτομα με αναπηρία δεν εξαιρούν τις συντάξεις από τις κοινωνικές μεταβιβάσεις ώστε να υπολογίσουμε τον δείκτη με την ίδια μεθοδολογία, ενώ επίσης, τα διαχρονικά δεδομένα υποδεικνύουν ότι το πρόβλημα της φτώχειας και του κοινωνικού αποκλεισμού είναι σημαντικά υψηλότερο στα άτομα με αναπηρία που βρίσκονται στις παραγωγικές ηλικίες.</w:t>
      </w:r>
    </w:p>
    <w:p w14:paraId="38A269EB" w14:textId="77777777" w:rsidR="008F60CC" w:rsidRPr="008F60CC" w:rsidRDefault="008F60CC" w:rsidP="008F60CC">
      <w:pPr>
        <w:jc w:val="both"/>
        <w:rPr>
          <w:rFonts w:ascii="Constantia" w:hAnsi="Constantia"/>
          <w:sz w:val="24"/>
          <w:szCs w:val="24"/>
          <w:lang w:val="el-GR"/>
        </w:rPr>
      </w:pPr>
      <w:r w:rsidRPr="008F60CC">
        <w:rPr>
          <w:rFonts w:ascii="Constantia" w:hAnsi="Constantia"/>
          <w:sz w:val="24"/>
          <w:szCs w:val="24"/>
          <w:lang w:val="el-GR"/>
        </w:rPr>
        <w:t xml:space="preserve">Στο </w:t>
      </w:r>
      <w:r w:rsidRPr="008F60CC">
        <w:rPr>
          <w:rFonts w:ascii="Constantia" w:hAnsi="Constantia"/>
          <w:color w:val="1C6194" w:themeColor="accent2" w:themeShade="BF"/>
          <w:sz w:val="24"/>
          <w:szCs w:val="24"/>
          <w:lang w:val="el-GR"/>
        </w:rPr>
        <w:fldChar w:fldCharType="begin"/>
      </w:r>
      <w:r w:rsidRPr="008F60CC">
        <w:rPr>
          <w:rFonts w:ascii="Constantia" w:hAnsi="Constantia"/>
          <w:color w:val="1C6194" w:themeColor="accent2" w:themeShade="BF"/>
          <w:sz w:val="24"/>
          <w:szCs w:val="24"/>
          <w:lang w:val="el-GR"/>
        </w:rPr>
        <w:instrText xml:space="preserve"> REF _Ref202284639 \h  \* MERGEFORMAT </w:instrText>
      </w:r>
      <w:r w:rsidRPr="008F60CC">
        <w:rPr>
          <w:rFonts w:ascii="Constantia" w:hAnsi="Constantia"/>
          <w:color w:val="1C6194" w:themeColor="accent2" w:themeShade="BF"/>
          <w:sz w:val="24"/>
          <w:szCs w:val="24"/>
          <w:lang w:val="el-GR"/>
        </w:rPr>
      </w:r>
      <w:r w:rsidRPr="008F60CC">
        <w:rPr>
          <w:rFonts w:ascii="Constantia" w:hAnsi="Constantia"/>
          <w:color w:val="1C6194" w:themeColor="accent2" w:themeShade="BF"/>
          <w:sz w:val="24"/>
          <w:szCs w:val="24"/>
          <w:lang w:val="el-GR"/>
        </w:rPr>
        <w:fldChar w:fldCharType="separate"/>
      </w:r>
      <w:r w:rsidRPr="008F60CC">
        <w:rPr>
          <w:rFonts w:ascii="Constantia" w:hAnsi="Constantia" w:cstheme="majorHAnsi"/>
          <w:color w:val="1C6194" w:themeColor="accent2" w:themeShade="BF"/>
          <w:sz w:val="24"/>
          <w:szCs w:val="24"/>
          <w:lang w:val="el-GR"/>
        </w:rPr>
        <w:t>Γράφημα 9</w:t>
      </w:r>
      <w:r w:rsidRPr="008F60CC">
        <w:rPr>
          <w:rFonts w:ascii="Constantia" w:hAnsi="Constantia"/>
          <w:color w:val="1C6194" w:themeColor="accent2" w:themeShade="BF"/>
          <w:sz w:val="24"/>
          <w:szCs w:val="24"/>
          <w:lang w:val="el-GR"/>
        </w:rPr>
        <w:fldChar w:fldCharType="end"/>
      </w:r>
      <w:r w:rsidRPr="008F60CC">
        <w:rPr>
          <w:rFonts w:ascii="Constantia" w:hAnsi="Constantia"/>
          <w:sz w:val="24"/>
          <w:szCs w:val="24"/>
          <w:lang w:val="el-GR"/>
        </w:rPr>
        <w:t xml:space="preserve"> παρουσιάζεται η επίδραση των κοινωνικών μεταβιβάσεων (συμπεριλαμβανομένων των συντάξεων) στη μείωση της φτώχειας των ατόμων με μέτρια και σοβαρή αναπηρία 16-64 ετών για το 2024. Η Ελλάδα και πάλι βρίσκεται στη τελευταία θέση καταγράφοντας τη χειρότερη επίδοση στον συγκεκριμένο δείκτη με το ποσοστό φτώχειας και κοινωνικού αποκλεισμού να μειώνεται με την επίδραση των κοινωνικών μεταβιβάσεων μόλις κατά 5,3 μονάδες. Να σημειωθεί ότι στην Ελλάδα καταγράφεται ταυτόχρονα ένα από τα 2 υψηλότερα ποσοστά φτώχειας ή/και κοινωνικού αποκλεισμού στα άτομα με αναπηρία 16-64 ετών (48,3 στην Ελλάδα, 48,4 στη Ρουμανία).</w:t>
      </w:r>
      <w:bookmarkEnd w:id="50"/>
    </w:p>
    <w:p w14:paraId="49C63E27" w14:textId="77777777" w:rsidR="008F60CC" w:rsidRPr="0001190B" w:rsidRDefault="008F60CC" w:rsidP="008F60CC">
      <w:pPr>
        <w:spacing w:after="0" w:line="240" w:lineRule="auto"/>
        <w:rPr>
          <w:sz w:val="24"/>
          <w:szCs w:val="24"/>
          <w:lang w:val="el-GR"/>
        </w:rPr>
      </w:pPr>
      <w:r w:rsidRPr="0001190B">
        <w:rPr>
          <w:sz w:val="24"/>
          <w:szCs w:val="24"/>
          <w:lang w:val="el-GR"/>
        </w:rPr>
        <w:br w:type="page"/>
      </w:r>
    </w:p>
    <w:p w14:paraId="554B3994" w14:textId="77777777" w:rsidR="008F60CC" w:rsidRPr="008F60CC" w:rsidRDefault="008F60CC" w:rsidP="008F60CC">
      <w:pPr>
        <w:jc w:val="center"/>
        <w:rPr>
          <w:rFonts w:asciiTheme="majorHAnsi" w:hAnsiTheme="majorHAnsi" w:cstheme="majorHAnsi"/>
          <w:color w:val="1C6194" w:themeColor="accent2" w:themeShade="BF"/>
          <w:sz w:val="24"/>
          <w:szCs w:val="24"/>
          <w:lang w:val="el-GR"/>
        </w:rPr>
      </w:pPr>
      <w:bookmarkStart w:id="51" w:name="_Ref202284639"/>
      <w:bookmarkStart w:id="52" w:name="_Toc201687257"/>
      <w:bookmarkStart w:id="53" w:name="_Toc222493363"/>
      <w:r w:rsidRPr="008F60CC">
        <w:rPr>
          <w:rFonts w:asciiTheme="majorHAnsi" w:hAnsiTheme="majorHAnsi" w:cstheme="majorHAnsi"/>
          <w:b/>
          <w:bCs/>
          <w:color w:val="1C6194" w:themeColor="accent2" w:themeShade="BF"/>
          <w:sz w:val="24"/>
          <w:szCs w:val="24"/>
          <w:lang w:val="el-GR"/>
        </w:rPr>
        <w:lastRenderedPageBreak/>
        <w:t xml:space="preserve">Γράφημα </w:t>
      </w:r>
      <w:r w:rsidRPr="008F60CC">
        <w:rPr>
          <w:rFonts w:asciiTheme="majorHAnsi" w:hAnsiTheme="majorHAnsi" w:cstheme="majorHAnsi"/>
          <w:b/>
          <w:bCs/>
          <w:color w:val="1C6194" w:themeColor="accent2" w:themeShade="BF"/>
          <w:sz w:val="24"/>
          <w:szCs w:val="24"/>
          <w:lang w:val="el-GR"/>
        </w:rPr>
        <w:fldChar w:fldCharType="begin"/>
      </w:r>
      <w:r w:rsidRPr="008F60CC">
        <w:rPr>
          <w:rFonts w:asciiTheme="majorHAnsi" w:hAnsiTheme="majorHAnsi" w:cstheme="majorHAnsi"/>
          <w:b/>
          <w:bCs/>
          <w:color w:val="1C6194" w:themeColor="accent2" w:themeShade="BF"/>
          <w:sz w:val="24"/>
          <w:szCs w:val="24"/>
          <w:lang w:val="el-GR"/>
        </w:rPr>
        <w:instrText xml:space="preserve"> SEQ Γράφημα \* ARABIC </w:instrText>
      </w:r>
      <w:r w:rsidRPr="008F60CC">
        <w:rPr>
          <w:rFonts w:asciiTheme="majorHAnsi" w:hAnsiTheme="majorHAnsi" w:cstheme="majorHAnsi"/>
          <w:b/>
          <w:bCs/>
          <w:color w:val="1C6194" w:themeColor="accent2" w:themeShade="BF"/>
          <w:sz w:val="24"/>
          <w:szCs w:val="24"/>
          <w:lang w:val="el-GR"/>
        </w:rPr>
        <w:fldChar w:fldCharType="separate"/>
      </w:r>
      <w:r w:rsidRPr="008F60CC">
        <w:rPr>
          <w:rFonts w:asciiTheme="majorHAnsi" w:hAnsiTheme="majorHAnsi" w:cstheme="majorHAnsi"/>
          <w:b/>
          <w:bCs/>
          <w:color w:val="1C6194" w:themeColor="accent2" w:themeShade="BF"/>
          <w:sz w:val="24"/>
          <w:szCs w:val="24"/>
          <w:lang w:val="el-GR"/>
        </w:rPr>
        <w:t>9</w:t>
      </w:r>
      <w:r w:rsidRPr="008F60CC">
        <w:rPr>
          <w:rFonts w:asciiTheme="majorHAnsi" w:hAnsiTheme="majorHAnsi" w:cstheme="majorHAnsi"/>
          <w:b/>
          <w:bCs/>
          <w:color w:val="1C6194" w:themeColor="accent2" w:themeShade="BF"/>
          <w:sz w:val="24"/>
          <w:szCs w:val="24"/>
          <w:lang w:val="el-GR"/>
        </w:rPr>
        <w:fldChar w:fldCharType="end"/>
      </w:r>
      <w:bookmarkEnd w:id="51"/>
      <w:r w:rsidRPr="008F60CC">
        <w:rPr>
          <w:rFonts w:asciiTheme="majorHAnsi" w:hAnsiTheme="majorHAnsi" w:cstheme="majorHAnsi"/>
          <w:color w:val="1C6194" w:themeColor="accent2" w:themeShade="BF"/>
          <w:sz w:val="24"/>
          <w:szCs w:val="24"/>
          <w:lang w:val="el-GR"/>
        </w:rPr>
        <w:t xml:space="preserve">: Επίδραση των κοινωνικών μεταβιβάσεων (συμπεριλαμβανομένων των συντάξεων) στη μείωση της φτώχειας των ατόμων με μέτρια </w:t>
      </w:r>
      <w:r w:rsidRPr="008F60CC">
        <w:rPr>
          <w:rFonts w:asciiTheme="majorHAnsi" w:hAnsiTheme="majorHAnsi" w:cstheme="majorHAnsi"/>
          <w:color w:val="1C6194" w:themeColor="accent2" w:themeShade="BF"/>
          <w:sz w:val="24"/>
          <w:szCs w:val="24"/>
          <w:lang w:val="el-GR"/>
        </w:rPr>
        <w:br/>
        <w:t>και σοβαρή αναπηρία 16-64 ετών (2024)</w:t>
      </w:r>
      <w:bookmarkEnd w:id="52"/>
      <w:bookmarkEnd w:id="53"/>
    </w:p>
    <w:p w14:paraId="41ECD3AF" w14:textId="77777777" w:rsidR="008F60CC" w:rsidRDefault="008F60CC" w:rsidP="008F60CC">
      <w:pPr>
        <w:keepNext/>
      </w:pPr>
      <w:r>
        <w:rPr>
          <w:noProof/>
          <w:lang w:val="el-GR" w:eastAsia="el-GR"/>
        </w:rPr>
        <w:drawing>
          <wp:inline distT="0" distB="0" distL="0" distR="0" wp14:anchorId="4F5B67D0" wp14:editId="00AA7773">
            <wp:extent cx="5377815" cy="6136850"/>
            <wp:effectExtent l="0" t="0" r="13335" b="16510"/>
            <wp:docPr id="1804977682" name="Γράφημα 1" descr="Σλοβακία: 30,1&#10;Σλοβενία: 24,2&#10;Πολωνία: 23,2&#10;Αυστρία: 22,1&#10;Τσεχία: 19,8&#10;Κροατία: 17,6&#10;Βέλγιο: 17,4&#10;Λουξεμβούργο: 16,8&#10;Ιρλανδία: 16,7&#10;Κύπρος: 16,4&#10;Γαλλία: 14,2&#10;Βουλγαρία: 14,1&#10;Ουγγαρία: 13,7&#10;Σουηδία: 12,8&#10;Εσθονία: 12,6&#10;ΕΕ- 27: 12,4&#10;Πορτογαλία: 12,1&#10;Λιθουανία: 11,4&#10;Ιταλία: 11,3&#10;Ρουμανία: 11,1&#10;Φινλανδία: 10,9&#10;Λετονία: 10,3&#10;Ολλανδία: 8,6&#10;Δανία: 8,3&#10;Γερμανία: 7,9&#10;Μάλτα: 6,9&#10;Ισπανία: 6,8&#10;Ελλάδα: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581B026" w14:textId="77777777" w:rsidR="008F60CC" w:rsidRPr="008F60CC" w:rsidRDefault="008F60CC" w:rsidP="008F60CC">
      <w:pPr>
        <w:pStyle w:val="Caption"/>
        <w:spacing w:before="240" w:after="0"/>
        <w:jc w:val="center"/>
        <w:rPr>
          <w:rFonts w:asciiTheme="majorHAnsi" w:hAnsiTheme="majorHAnsi" w:cstheme="majorHAnsi"/>
          <w:color w:val="1C6194" w:themeColor="accent2" w:themeShade="BF"/>
          <w:lang w:val="el-GR"/>
        </w:rPr>
      </w:pPr>
      <w:r w:rsidRPr="008F60CC">
        <w:rPr>
          <w:rFonts w:asciiTheme="majorHAnsi" w:hAnsiTheme="majorHAnsi" w:cstheme="majorHAnsi"/>
          <w:b/>
          <w:bCs/>
          <w:color w:val="1C6194" w:themeColor="accent2" w:themeShade="BF"/>
          <w:lang w:val="el-GR"/>
        </w:rPr>
        <w:t>Πηγή</w:t>
      </w:r>
      <w:r w:rsidRPr="008F60CC">
        <w:rPr>
          <w:rFonts w:asciiTheme="majorHAnsi" w:hAnsiTheme="majorHAnsi" w:cstheme="majorHAnsi"/>
          <w:color w:val="1C6194" w:themeColor="accent2" w:themeShade="BF"/>
          <w:lang w:val="el-GR"/>
        </w:rPr>
        <w:t xml:space="preserve"> : Eurostat (2024) / </w:t>
      </w:r>
      <w:r w:rsidRPr="008F60CC">
        <w:rPr>
          <w:rFonts w:asciiTheme="majorHAnsi" w:hAnsiTheme="majorHAnsi" w:cstheme="majorHAnsi"/>
          <w:b/>
          <w:bCs/>
          <w:color w:val="1C6194" w:themeColor="accent2" w:themeShade="BF"/>
          <w:lang w:val="el-GR"/>
        </w:rPr>
        <w:t>Επεξεργασία</w:t>
      </w:r>
      <w:r w:rsidRPr="008F60CC">
        <w:rPr>
          <w:rFonts w:asciiTheme="majorHAnsi" w:hAnsiTheme="majorHAnsi" w:cstheme="majorHAnsi"/>
          <w:color w:val="1C6194" w:themeColor="accent2" w:themeShade="BF"/>
          <w:lang w:val="el-GR"/>
        </w:rPr>
        <w:t>: Παρατηρητήριο Θεμάτων Αναπηρίας-Ε.Σ.Α.μεΑ.</w:t>
      </w:r>
    </w:p>
    <w:p w14:paraId="4B4F77E6" w14:textId="77777777" w:rsidR="008F60CC" w:rsidRPr="004C7F1F" w:rsidRDefault="008F60CC" w:rsidP="008F60CC">
      <w:pPr>
        <w:pStyle w:val="Caption"/>
        <w:rPr>
          <w:i w:val="0"/>
          <w:iCs w:val="0"/>
          <w:lang w:val="de-DE"/>
        </w:rPr>
      </w:pPr>
    </w:p>
    <w:p w14:paraId="42B78114" w14:textId="77777777" w:rsidR="008F60CC" w:rsidRDefault="008F60CC" w:rsidP="008F60CC">
      <w:pPr>
        <w:spacing w:after="0" w:line="240" w:lineRule="auto"/>
        <w:rPr>
          <w:lang w:val="el-GR"/>
        </w:rPr>
      </w:pPr>
      <w:r>
        <w:rPr>
          <w:lang w:val="el-GR"/>
        </w:rPr>
        <w:br w:type="page"/>
      </w:r>
    </w:p>
    <w:p w14:paraId="14DFC3E5" w14:textId="77777777" w:rsidR="008F60CC" w:rsidRPr="004C7F1F" w:rsidRDefault="008F60CC" w:rsidP="008F60CC">
      <w:pPr>
        <w:spacing w:after="360"/>
        <w:jc w:val="center"/>
        <w:rPr>
          <w:b/>
          <w:sz w:val="28"/>
          <w:szCs w:val="28"/>
          <w:lang w:val="el-GR"/>
        </w:rPr>
      </w:pPr>
      <w:r w:rsidRPr="004C7F1F">
        <w:rPr>
          <w:b/>
          <w:sz w:val="28"/>
          <w:szCs w:val="28"/>
          <w:lang w:val="el-GR"/>
        </w:rPr>
        <w:lastRenderedPageBreak/>
        <w:t>ΟΡΙΣΜΟΙ</w:t>
      </w:r>
      <w:r w:rsidRPr="004C7F1F">
        <w:rPr>
          <w:b/>
          <w:sz w:val="28"/>
          <w:szCs w:val="28"/>
          <w:vertAlign w:val="superscript"/>
          <w:lang w:val="el-GR"/>
        </w:rPr>
        <w:footnoteReference w:id="7"/>
      </w:r>
    </w:p>
    <w:p w14:paraId="676AE3AF" w14:textId="77777777" w:rsidR="008F60CC" w:rsidRPr="007E7C70" w:rsidRDefault="008F60CC" w:rsidP="008F60CC">
      <w:pPr>
        <w:rPr>
          <w:rFonts w:ascii="Constantia" w:hAnsi="Constantia"/>
          <w:iCs/>
          <w:lang w:val="el-GR"/>
        </w:rPr>
      </w:pPr>
      <w:r w:rsidRPr="007E7C70">
        <w:rPr>
          <w:rFonts w:ascii="Constantia" w:hAnsi="Constantia"/>
          <w:b/>
          <w:iCs/>
          <w:u w:val="single"/>
          <w:lang w:val="el-GR"/>
        </w:rPr>
        <w:t>Η κοινωνική προστασία</w:t>
      </w:r>
      <w:r w:rsidRPr="007E7C70">
        <w:rPr>
          <w:rFonts w:ascii="Constantia" w:hAnsi="Constantia"/>
          <w:iCs/>
          <w:lang w:val="el-GR"/>
        </w:rPr>
        <w:t xml:space="preserve"> περιλαμβάνει όλες τις παρεμβάσεις δημόσιων ή ιδιωτικών φορέων που έχουν ως σκοπό να ανακουφίσουν τα νοικοκυριά και τα άτομα από το βάρος ενός καθορισμένου συνόλου κινδύνων ή αναγκών, υπό τον όρο ότι δεν χρησιμοποιείται καμία ταυτόχρονη αμοιβαία ρύθμιση ούτε ατομική ρύθμιση.</w:t>
      </w:r>
    </w:p>
    <w:p w14:paraId="0AAD92F5" w14:textId="77777777" w:rsidR="008F60CC" w:rsidRPr="007E7C70" w:rsidRDefault="008F60CC" w:rsidP="008F60CC">
      <w:pPr>
        <w:rPr>
          <w:rFonts w:ascii="Constantia" w:hAnsi="Constantia"/>
          <w:iCs/>
          <w:lang w:val="el-GR"/>
        </w:rPr>
      </w:pPr>
      <w:r w:rsidRPr="007E7C70">
        <w:rPr>
          <w:rFonts w:ascii="Constantia" w:hAnsi="Constantia"/>
          <w:b/>
          <w:iCs/>
          <w:u w:val="single"/>
          <w:lang w:val="el-GR"/>
        </w:rPr>
        <w:t>Οι λειτουργίες δηλαδή οι κίνδυνοι ή ανάγκες</w:t>
      </w:r>
      <w:r w:rsidRPr="007E7C70">
        <w:rPr>
          <w:rFonts w:ascii="Constantia" w:hAnsi="Constantia"/>
          <w:iCs/>
          <w:lang w:val="el-GR"/>
        </w:rPr>
        <w:t xml:space="preserve"> που μπορούν να δικαιολογήσουν παρεμβάσεις κοινωνικής προστασίας είναι οι εξής:</w:t>
      </w:r>
    </w:p>
    <w:p w14:paraId="3FEB8770" w14:textId="77777777" w:rsidR="008F60CC" w:rsidRPr="007E7C70" w:rsidRDefault="008F60CC" w:rsidP="008F60CC">
      <w:pPr>
        <w:numPr>
          <w:ilvl w:val="0"/>
          <w:numId w:val="46"/>
        </w:numPr>
        <w:jc w:val="both"/>
        <w:rPr>
          <w:rFonts w:ascii="Constantia" w:hAnsi="Constantia"/>
          <w:iCs/>
          <w:lang w:val="el-GR"/>
        </w:rPr>
      </w:pPr>
      <w:r w:rsidRPr="007E7C70">
        <w:rPr>
          <w:rFonts w:ascii="Constantia" w:hAnsi="Constantia"/>
          <w:iCs/>
          <w:lang w:val="el-GR"/>
        </w:rPr>
        <w:t>Ασθένεια / υγειονομική περίθαλψη: α) παροχές σε χρήμα που αντισταθμίζουν εξ ολοκλήρου ή εν μέρει την απώλεια εισοδήματος εξαιτίας της προσωρινής αδυναμίας του ατόμου προς εργασία λόγω ασθένειας ή τραυματισμού, β) την υγειονομική περίθαλψη που χορηγείται στο πλαίσιο της κοινωνικής προστασίας προκειμένου να διατηρηθεί, αποκατασταθεί ή βελτιωθεί η υγεία των προστατευόμενων προσώπων.</w:t>
      </w:r>
    </w:p>
    <w:p w14:paraId="49B7A3A3" w14:textId="77777777" w:rsidR="008F60CC" w:rsidRPr="007E7C70" w:rsidRDefault="008F60CC" w:rsidP="008F60CC">
      <w:pPr>
        <w:numPr>
          <w:ilvl w:val="0"/>
          <w:numId w:val="46"/>
        </w:numPr>
        <w:jc w:val="both"/>
        <w:rPr>
          <w:rFonts w:ascii="Constantia" w:hAnsi="Constantia"/>
          <w:iCs/>
          <w:lang w:val="el-GR"/>
        </w:rPr>
      </w:pPr>
      <w:r w:rsidRPr="007E7C70">
        <w:rPr>
          <w:rFonts w:ascii="Constantia" w:hAnsi="Constantia"/>
          <w:iCs/>
          <w:lang w:val="el-GR"/>
        </w:rPr>
        <w:t xml:space="preserve">Αναπηρία: α) παροχές που εξασφαλίζουν εισόδημα σε άτομα τα οποία δεν έχουν συμπληρώσει ακόμη το όριο ηλικίας συνταξιοδότησης που προβλέπεται από το νόμο και δεν έχουν την ικανότητα να εκτελέσουν αμειβόμενη εργασία εξαιτίας σωματικής ή ψυχικής βλάβης β) παροχές που χορηγούν υπηρεσίες αποκατάστασης που απαιτούνται από τη φύση της συγκεκριμένης αναπηρίας γ) παροχές που χορηγούν αγαθά και υπηρεσίες εκτός της ιατρικής μέριμνας σε άτομα με ειδικές ανάγκες. </w:t>
      </w:r>
    </w:p>
    <w:p w14:paraId="250D76CA" w14:textId="77777777" w:rsidR="008F60CC" w:rsidRPr="007E7C70" w:rsidRDefault="008F60CC" w:rsidP="008F60CC">
      <w:pPr>
        <w:numPr>
          <w:ilvl w:val="0"/>
          <w:numId w:val="46"/>
        </w:numPr>
        <w:jc w:val="both"/>
        <w:rPr>
          <w:rFonts w:ascii="Constantia" w:hAnsi="Constantia"/>
          <w:iCs/>
          <w:lang w:val="el-GR"/>
        </w:rPr>
      </w:pPr>
      <w:r w:rsidRPr="007E7C70">
        <w:rPr>
          <w:rFonts w:ascii="Constantia" w:hAnsi="Constantia"/>
          <w:iCs/>
          <w:lang w:val="el-GR"/>
        </w:rPr>
        <w:t>Γήρας: α) παροχές που διασφαλίζουν τη χορήγηση εισοδήματος στους ασφαλισμένους που αποχωρούν από την αγορά εργασίας λόγω ηλικίας β) παροχές που διασφαλίζουν τη χορήγηση ενός ορισμένου εισοδήματος στους ασφαλισμένους που έχουν συμπληρώσει ένα συγκεκριμένο όριο ηλικίας γ) παροχές που χορηγούν αγαθά και υπηρεσίες που απαιτούνται από την προσωπική ή την κοινωνική κατάσταση των ηλικιωμένων.</w:t>
      </w:r>
    </w:p>
    <w:p w14:paraId="1092DD4E" w14:textId="77777777" w:rsidR="008F60CC" w:rsidRPr="007E7C70" w:rsidRDefault="008F60CC" w:rsidP="008F60CC">
      <w:pPr>
        <w:numPr>
          <w:ilvl w:val="0"/>
          <w:numId w:val="46"/>
        </w:numPr>
        <w:jc w:val="both"/>
        <w:rPr>
          <w:rFonts w:ascii="Constantia" w:hAnsi="Constantia"/>
          <w:iCs/>
          <w:lang w:val="el-GR"/>
        </w:rPr>
      </w:pPr>
      <w:r w:rsidRPr="007E7C70">
        <w:rPr>
          <w:rFonts w:ascii="Constantia" w:hAnsi="Constantia"/>
          <w:iCs/>
          <w:lang w:val="el-GR"/>
        </w:rPr>
        <w:t>Επιζώντες / Χηρεία : α) παροχές που διασφαλίζουν ένα προσωρινό ή διαρκές εισόδημα σε άτομα που δεν έχουν συμπληρώσει ακόμα τη νόμιμη ηλικία συνταξιοδότησης αλλά έχουν χάσει το σύζυγο ή κάποιο στενό συγγενή τους που τους εξασφάλιζε τα προς το ζην β) παροχές που αποζημιώνουν τους επιζώντες για έξοδα κηδείας και για οποιαδήποτε δυσχερή κατάσταση στην οποία βρίσκονται εξαιτίας του θανάτου ενός μέλους της οικογένειάς τους γ) παροχές που χορηγούν αγαθά και υπηρεσίες σε επιζώντες που έχουν θεμελιώσει δικαίωμα σε αυτά.</w:t>
      </w:r>
    </w:p>
    <w:p w14:paraId="6D40BC78" w14:textId="77777777" w:rsidR="008F60CC" w:rsidRPr="007E7C70" w:rsidRDefault="008F60CC" w:rsidP="008F60CC">
      <w:pPr>
        <w:numPr>
          <w:ilvl w:val="0"/>
          <w:numId w:val="46"/>
        </w:numPr>
        <w:jc w:val="both"/>
        <w:rPr>
          <w:rFonts w:ascii="Constantia" w:hAnsi="Constantia"/>
          <w:iCs/>
          <w:lang w:val="el-GR"/>
        </w:rPr>
      </w:pPr>
      <w:r w:rsidRPr="007E7C70">
        <w:rPr>
          <w:rFonts w:ascii="Constantia" w:hAnsi="Constantia"/>
          <w:iCs/>
          <w:lang w:val="el-GR"/>
        </w:rPr>
        <w:t>Οικογένεια / τέκνα: α) παροχές που χορηγούν οικονομική υποστήριξη στα νοικοκυριά για τη διατροφή των τέκνων β) παροχές που χορηγούν οικονομική βοήθεια σε πρόσωπα που συντηρούν συγγενείς πλην τέκνων γ) παροχές που χορηγούν κοινωνικές υπηρεσίες που προορίζονται ειδικά για την υποστήριξη και προστασία της οικογένειας και ιδιαίτερα των τέκνων.</w:t>
      </w:r>
    </w:p>
    <w:p w14:paraId="678B3E34" w14:textId="77777777" w:rsidR="008F60CC" w:rsidRPr="007E7C70" w:rsidRDefault="008F60CC" w:rsidP="008F60CC">
      <w:pPr>
        <w:numPr>
          <w:ilvl w:val="0"/>
          <w:numId w:val="46"/>
        </w:numPr>
        <w:jc w:val="both"/>
        <w:rPr>
          <w:rFonts w:ascii="Constantia" w:hAnsi="Constantia"/>
          <w:iCs/>
          <w:lang w:val="el-GR"/>
        </w:rPr>
      </w:pPr>
      <w:r w:rsidRPr="007E7C70">
        <w:rPr>
          <w:rFonts w:ascii="Constantia" w:hAnsi="Constantia"/>
          <w:iCs/>
          <w:lang w:val="el-GR"/>
        </w:rPr>
        <w:t xml:space="preserve">Ανεργία: α) παροχές που αντικαθιστούν εξ ολοκλήρου ή μερικώς το εισόδημα που χάνει ένας εργαζόμενος εξαιτίας της απώλειας αμειβόμενης εργασίας β) παροχές που </w:t>
      </w:r>
      <w:r w:rsidRPr="007E7C70">
        <w:rPr>
          <w:rFonts w:ascii="Constantia" w:hAnsi="Constantia"/>
          <w:iCs/>
          <w:lang w:val="el-GR"/>
        </w:rPr>
        <w:lastRenderedPageBreak/>
        <w:t>εξασφαλίζουν ένα εισόδημα επιβίωσης σε άτομα που εισέρχονται για πρώτη ή πρόσθετη φορά στη αγορά εργασίας γ) παροχές που αντισταθμίζουν την απώλεια εισοδήματος λόγω μερικής ανεργίας δ) παροχές που αντικαθιστούν εξ ολοκλήρου ή μερικώς την απώλεια εισοδήματος ενός μεγαλύτερου σε ηλικία εργαζόμενου που συνταξιοδοτείται από αμειβόμενη εργασία πριν από τη συμπλήρωση του νόμιμου ορίου ηλικίας εξαιτίας περικοπών στις θέσεις εργασίας για οικονομικούς λόγους ε) παροχές που συνεισφέρουν στις δαπάνες επιμόρφωσης ή πρόσθετης επιμόρφωσης όσων αναζητούν εργασία ζ) παροχές που βοηθούν τους ανέργους στην αντιμετώπιση των εξόδων ταξιδιού ή στη αλλαγή του τόπου διαμονής τους προκειμένου να βρουν απασχόληση η) παροχές για βοήθεια με τη χορήγηση των κατάλληλων αγαθών και υπηρεσιών.</w:t>
      </w:r>
    </w:p>
    <w:p w14:paraId="63DE3F68" w14:textId="77777777" w:rsidR="008F60CC" w:rsidRPr="007E7C70" w:rsidRDefault="008F60CC" w:rsidP="007E7C70">
      <w:pPr>
        <w:numPr>
          <w:ilvl w:val="0"/>
          <w:numId w:val="46"/>
        </w:numPr>
        <w:jc w:val="both"/>
        <w:rPr>
          <w:rFonts w:ascii="Constantia" w:hAnsi="Constantia"/>
          <w:lang w:val="el-GR"/>
        </w:rPr>
      </w:pPr>
      <w:r w:rsidRPr="007E7C70">
        <w:rPr>
          <w:rFonts w:ascii="Constantia" w:hAnsi="Constantia"/>
          <w:iCs/>
          <w:lang w:val="el-GR"/>
        </w:rPr>
        <w:t>Στέγαση: η συγκεκριμένη λειτουργία αποτελείται από παρεμβάσεις του Δημοσίου που στοχεύουν στην υποστήριξη των νοικοκυριών για να αντιμετωπίσουν τις στεγαστικές δαπάνες τους.</w:t>
      </w:r>
    </w:p>
    <w:p w14:paraId="603375E9" w14:textId="77777777" w:rsidR="008F60CC" w:rsidRPr="007E7C70" w:rsidRDefault="008F60CC" w:rsidP="007E7C70">
      <w:pPr>
        <w:numPr>
          <w:ilvl w:val="0"/>
          <w:numId w:val="46"/>
        </w:numPr>
        <w:jc w:val="both"/>
        <w:rPr>
          <w:rFonts w:ascii="Constantia" w:hAnsi="Constantia"/>
          <w:lang w:val="el-GR"/>
        </w:rPr>
      </w:pPr>
      <w:r w:rsidRPr="007E7C70">
        <w:rPr>
          <w:rFonts w:ascii="Constantia" w:hAnsi="Constantia"/>
          <w:iCs/>
          <w:lang w:val="el-GR"/>
        </w:rPr>
        <w:t>Κοινωνικός αποκλεισμός: αναφέρεται σε «κοινωνικά αποκλεισμένους» ή σε εκείνους που αντιμετωπίζουν τον κίνδυνο του κοινωνικού αποκλεισμού και περιλαμβάνει δράσεις που δεν καλύπτονται από άλλη λειτουργία. Επειδή ο ορισμός αυτός είναι αρκετά γενικός, οι ομάδες –στόχοι είναι κυρίως άποροι, μετανάστες, πρόσφυγες, τοξικομανείς ή αλκοολικοί, θύματα εγκληματικών πράξεων κ.ά.</w:t>
      </w:r>
    </w:p>
    <w:bookmarkEnd w:id="29"/>
    <w:p w14:paraId="22B6E567" w14:textId="77777777" w:rsidR="006C3D5A" w:rsidRPr="008F60CC" w:rsidRDefault="006C3D5A" w:rsidP="008530C7">
      <w:pPr>
        <w:spacing w:line="276" w:lineRule="auto"/>
        <w:ind w:right="119"/>
        <w:jc w:val="both"/>
        <w:rPr>
          <w:rFonts w:ascii="Constantia" w:eastAsia="Constantia" w:hAnsi="Constantia" w:cs="Constantia"/>
          <w:spacing w:val="-4"/>
          <w:sz w:val="24"/>
          <w:szCs w:val="24"/>
          <w:lang w:val="el-GR"/>
        </w:rPr>
      </w:pPr>
    </w:p>
    <w:bookmarkEnd w:id="10"/>
    <w:p w14:paraId="38DD5B97" w14:textId="7A8A0F8A" w:rsidR="00824DC6" w:rsidRDefault="00824DC6" w:rsidP="007E7C70">
      <w:pPr>
        <w:spacing w:before="5040" w:after="0"/>
        <w:jc w:val="center"/>
        <w:rPr>
          <w:sz w:val="24"/>
          <w:szCs w:val="24"/>
          <w:lang w:val="el-GR"/>
        </w:rPr>
      </w:pPr>
    </w:p>
    <w:p w14:paraId="4B0666B3" w14:textId="2AFC6E8B" w:rsidR="00926480" w:rsidRPr="00926480" w:rsidRDefault="00926480" w:rsidP="00926480">
      <w:pPr>
        <w:spacing w:before="720" w:after="0" w:line="240" w:lineRule="auto"/>
        <w:jc w:val="center"/>
        <w:rPr>
          <w:rFonts w:cstheme="minorHAnsi"/>
          <w:lang w:val="el-GR"/>
        </w:rPr>
      </w:pPr>
      <w:r>
        <w:rPr>
          <w:rFonts w:ascii="Aptos Light" w:hAnsi="Aptos Light"/>
          <w:noProof/>
          <w:color w:val="808080" w:themeColor="background1" w:themeShade="80"/>
          <w:sz w:val="32"/>
          <w:szCs w:val="32"/>
          <w:lang w:val="el-GR"/>
        </w:rPr>
        <w:drawing>
          <wp:inline distT="0" distB="0" distL="0" distR="0" wp14:anchorId="4203C08C" wp14:editId="11424227">
            <wp:extent cx="5143500" cy="495300"/>
            <wp:effectExtent l="0" t="0" r="0" b="0"/>
            <wp:docPr id="893832676" name="Picture 4" descr="Λογότυπο Προγράμματος:&#10;Πρόγραμμα &quot;Ανθρώπινο Δυναμικό και Κοινωνική Συνοχή&quot;.&#10;Με τη συγχρηματοδότηση της Ευρωπαϊκής Ένωσης.&#10;ΕΣΠΑ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33752" name="Picture 4" descr="Λογότυπο Προγράμματος:&#10;Πρόγραμμα &quot;Ανθρώπινο Δυναμικό και Κοινωνική Συνοχή&quot;.&#10;Με τη συγχρηματοδότηση της Ευρωπαϊκής Ένωσης.&#10;ΕΣΠΑ 2021-202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818"/>
                    <a:stretch>
                      <a:fillRect/>
                    </a:stretch>
                  </pic:blipFill>
                  <pic:spPr bwMode="auto">
                    <a:xfrm>
                      <a:off x="0" y="0"/>
                      <a:ext cx="5143500" cy="495300"/>
                    </a:xfrm>
                    <a:prstGeom prst="rect">
                      <a:avLst/>
                    </a:prstGeom>
                    <a:noFill/>
                    <a:ln>
                      <a:noFill/>
                    </a:ln>
                    <a:extLst>
                      <a:ext uri="{53640926-AAD7-44D8-BBD7-CCE9431645EC}">
                        <a14:shadowObscured xmlns:a14="http://schemas.microsoft.com/office/drawing/2010/main"/>
                      </a:ext>
                    </a:extLst>
                  </pic:spPr>
                </pic:pic>
              </a:graphicData>
            </a:graphic>
          </wp:inline>
        </w:drawing>
      </w:r>
    </w:p>
    <w:sectPr w:rsidR="00926480" w:rsidRPr="00926480" w:rsidSect="0023028E">
      <w:headerReference w:type="default" r:id="rId24"/>
      <w:footerReference w:type="default" r:id="rId25"/>
      <w:headerReference w:type="first" r:id="rId26"/>
      <w:footerReference w:type="first" r:id="rId27"/>
      <w:pgSz w:w="11906" w:h="16838"/>
      <w:pgMar w:top="1985" w:right="1559" w:bottom="1440" w:left="1843" w:header="567" w:footer="8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EF2DB" w14:textId="77777777" w:rsidR="00054AB2" w:rsidRDefault="00054AB2">
      <w:pPr>
        <w:spacing w:line="240" w:lineRule="auto"/>
      </w:pPr>
      <w:r>
        <w:separator/>
      </w:r>
    </w:p>
  </w:endnote>
  <w:endnote w:type="continuationSeparator" w:id="0">
    <w:p w14:paraId="0D72304B" w14:textId="77777777" w:rsidR="00054AB2" w:rsidRDefault="00054A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D86FC" w14:textId="75441B91" w:rsidR="007D51AE" w:rsidRDefault="007D51AE">
    <w:pPr>
      <w:pStyle w:val="Footer"/>
    </w:pPr>
  </w:p>
  <w:p w14:paraId="19B070ED" w14:textId="77777777" w:rsidR="007D51AE" w:rsidRDefault="007D51AE">
    <w:pPr>
      <w:pStyle w:val="Footer"/>
      <w:rPr>
        <w:lang w:val="el-G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732CE" w14:textId="02F6ACAA" w:rsidR="0023028E" w:rsidRPr="00926480" w:rsidRDefault="0023028E" w:rsidP="0023028E">
    <w:pPr>
      <w:pStyle w:val="Footer"/>
      <w:jc w:val="right"/>
      <w:rPr>
        <w:sz w:val="21"/>
        <w:szCs w:val="21"/>
      </w:rPr>
    </w:pPr>
    <w:r w:rsidRPr="00926480">
      <w:rPr>
        <w:color w:val="65757D" w:themeColor="background2" w:themeShade="80"/>
        <w:spacing w:val="60"/>
        <w:sz w:val="21"/>
        <w:szCs w:val="21"/>
        <w:lang w:val="el-GR"/>
      </w:rPr>
      <w:t>Σελίδα</w:t>
    </w:r>
    <w:r w:rsidRPr="00926480">
      <w:rPr>
        <w:color w:val="2E653E" w:themeColor="accent5" w:themeShade="BF"/>
        <w:sz w:val="21"/>
        <w:szCs w:val="21"/>
      </w:rPr>
      <w:t xml:space="preserve"> |</w:t>
    </w:r>
    <w:r w:rsidRPr="00926480">
      <w:rPr>
        <w:sz w:val="21"/>
        <w:szCs w:val="21"/>
      </w:rPr>
      <w:t xml:space="preserve"> </w:t>
    </w:r>
    <w:r w:rsidRPr="00926480">
      <w:rPr>
        <w:sz w:val="21"/>
        <w:szCs w:val="21"/>
      </w:rPr>
      <w:fldChar w:fldCharType="begin"/>
    </w:r>
    <w:r w:rsidRPr="00926480">
      <w:rPr>
        <w:sz w:val="21"/>
        <w:szCs w:val="21"/>
      </w:rPr>
      <w:instrText xml:space="preserve"> PAGE   \* MERGEFORMAT </w:instrText>
    </w:r>
    <w:r w:rsidRPr="00926480">
      <w:rPr>
        <w:sz w:val="21"/>
        <w:szCs w:val="21"/>
      </w:rPr>
      <w:fldChar w:fldCharType="separate"/>
    </w:r>
    <w:r w:rsidRPr="00926480">
      <w:rPr>
        <w:b/>
        <w:bCs/>
        <w:noProof/>
        <w:sz w:val="21"/>
        <w:szCs w:val="21"/>
      </w:rPr>
      <w:t>1</w:t>
    </w:r>
    <w:r w:rsidRPr="00926480">
      <w:rPr>
        <w:b/>
        <w:bCs/>
        <w:noProof/>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A7BD6" w14:textId="77777777" w:rsidR="001B7216" w:rsidRDefault="001B7216">
    <w:pPr>
      <w:pStyle w:val="Footer"/>
    </w:pPr>
  </w:p>
  <w:p w14:paraId="582D8AFF" w14:textId="77777777" w:rsidR="001B7216" w:rsidRDefault="001B7216">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F3EC7" w14:textId="77777777" w:rsidR="00054AB2" w:rsidRDefault="00054AB2">
      <w:pPr>
        <w:spacing w:after="0"/>
      </w:pPr>
      <w:r>
        <w:separator/>
      </w:r>
    </w:p>
  </w:footnote>
  <w:footnote w:type="continuationSeparator" w:id="0">
    <w:p w14:paraId="514D61CA" w14:textId="77777777" w:rsidR="00054AB2" w:rsidRDefault="00054AB2">
      <w:pPr>
        <w:spacing w:after="0"/>
      </w:pPr>
      <w:r>
        <w:continuationSeparator/>
      </w:r>
    </w:p>
  </w:footnote>
  <w:footnote w:id="1">
    <w:p w14:paraId="79AB6270" w14:textId="77777777" w:rsidR="007341FB" w:rsidRPr="00A97CD6" w:rsidRDefault="007341FB" w:rsidP="008F60CC">
      <w:pPr>
        <w:pStyle w:val="FootnoteText"/>
        <w:spacing w:after="60"/>
        <w:jc w:val="both"/>
        <w:rPr>
          <w:rFonts w:cstheme="minorHAnsi"/>
          <w:lang w:val="el-GR"/>
        </w:rPr>
      </w:pPr>
      <w:r w:rsidRPr="00A97CD6">
        <w:rPr>
          <w:rStyle w:val="FootnoteReference"/>
          <w:rFonts w:cstheme="minorHAnsi"/>
          <w:lang w:val="el-GR"/>
        </w:rPr>
        <w:footnoteRef/>
      </w:r>
      <w:r w:rsidRPr="00A97CD6">
        <w:rPr>
          <w:rFonts w:cstheme="minorHAnsi"/>
          <w:lang w:val="el-GR"/>
        </w:rPr>
        <w:t xml:space="preserve"> Το Ευρωπαϊκό Σύστημα Ολοκληρωμένων Στατιστικών Κοινωνικής Προστασίας (ESSPROS) δεν καταγράφει δηλαδή το συνολικό κόστος των δημόσιων συστημάτων υγείας, π.χ. λειτουργικό κόστος νοσοκομείων, γενική λειτουργία συστήματος υγείας</w:t>
      </w:r>
    </w:p>
  </w:footnote>
  <w:footnote w:id="2">
    <w:p w14:paraId="26B524EF" w14:textId="77777777" w:rsidR="008F60CC" w:rsidRPr="00A97CD6" w:rsidRDefault="008F60CC" w:rsidP="008F60CC">
      <w:pPr>
        <w:pStyle w:val="FootnoteText"/>
        <w:spacing w:after="60"/>
        <w:jc w:val="both"/>
        <w:rPr>
          <w:rFonts w:cstheme="minorHAnsi"/>
          <w:lang w:val="el-GR"/>
        </w:rPr>
      </w:pPr>
      <w:r w:rsidRPr="00A97CD6">
        <w:rPr>
          <w:rStyle w:val="FootnoteReference"/>
          <w:rFonts w:cstheme="minorHAnsi"/>
          <w:lang w:val="el-GR"/>
        </w:rPr>
        <w:footnoteRef/>
      </w:r>
      <w:r w:rsidRPr="00A97CD6">
        <w:rPr>
          <w:rFonts w:cstheme="minorHAnsi"/>
          <w:lang w:val="el-GR"/>
        </w:rPr>
        <w:t xml:space="preserve"> Χωρίς να έχουν αφαιρεθεί οι φόροι και οι εισφορές.</w:t>
      </w:r>
    </w:p>
  </w:footnote>
  <w:footnote w:id="3">
    <w:p w14:paraId="0E56BA79" w14:textId="77777777" w:rsidR="008F60CC" w:rsidRPr="00A97CD6" w:rsidRDefault="008F60CC" w:rsidP="008F60CC">
      <w:pPr>
        <w:pStyle w:val="FootnoteText"/>
        <w:spacing w:after="60"/>
        <w:jc w:val="both"/>
        <w:rPr>
          <w:rFonts w:cstheme="minorHAnsi"/>
          <w:lang w:val="el-GR"/>
        </w:rPr>
      </w:pPr>
      <w:r w:rsidRPr="00A97CD6">
        <w:rPr>
          <w:rStyle w:val="FootnoteReference"/>
          <w:rFonts w:cstheme="minorHAnsi"/>
          <w:lang w:val="el-GR"/>
        </w:rPr>
        <w:footnoteRef/>
      </w:r>
      <w:r w:rsidRPr="00A97CD6">
        <w:rPr>
          <w:rFonts w:cstheme="minorHAnsi"/>
          <w:lang w:val="el-GR"/>
        </w:rPr>
        <w:t xml:space="preserve"> Δεν περιλαμβάνονται στα σύνολο των κοινωνικών παροχών τα διοικητικά κόστη.</w:t>
      </w:r>
    </w:p>
  </w:footnote>
  <w:footnote w:id="4">
    <w:p w14:paraId="303C642D" w14:textId="77777777" w:rsidR="008F60CC" w:rsidRPr="0001190B" w:rsidRDefault="008F60CC" w:rsidP="008F60CC">
      <w:pPr>
        <w:spacing w:after="60" w:line="240" w:lineRule="auto"/>
        <w:jc w:val="both"/>
        <w:rPr>
          <w:rFonts w:cstheme="minorHAnsi"/>
          <w:sz w:val="20"/>
          <w:szCs w:val="20"/>
          <w:lang w:val="el-GR"/>
        </w:rPr>
      </w:pPr>
      <w:r w:rsidRPr="00A97CD6">
        <w:rPr>
          <w:rStyle w:val="FootnoteReference"/>
          <w:rFonts w:cstheme="minorHAnsi"/>
          <w:sz w:val="20"/>
          <w:szCs w:val="20"/>
          <w:lang w:val="el-GR"/>
        </w:rPr>
        <w:footnoteRef/>
      </w:r>
      <w:r w:rsidRPr="00A97CD6">
        <w:rPr>
          <w:rFonts w:cstheme="minorHAnsi"/>
          <w:sz w:val="20"/>
          <w:szCs w:val="20"/>
          <w:lang w:val="el-GR"/>
        </w:rPr>
        <w:t xml:space="preserve"> </w:t>
      </w:r>
      <w:r w:rsidRPr="00A97CD6">
        <w:rPr>
          <w:rFonts w:eastAsia="Times New Roman" w:cstheme="minorHAnsi"/>
          <w:sz w:val="20"/>
          <w:szCs w:val="20"/>
          <w:lang w:val="el-GR" w:eastAsia="el-GR"/>
        </w:rPr>
        <w:t xml:space="preserve">Ως «μονάδα αγοραστικής δύναμης (ΜΑΔ)» νοείται η τεχνητή κοινή νομισματική μονάδα αναφοράς που χρησιμοποιείται στην Ευρωπαϊκή Ένωση για να εκφράσει τον όγκο των οικονομικών συγκεντρωτικών μεγεθών για τους σκοπούς των χωρικών συγκρίσεων με τρόπο ώστε να εξαλείφονται οι διαφορές των επιπέδων τιμών μεταξύ κρατών μελών. Βλ. Κανονισμό του Ευρωπαϊκού Κοινοβουλίου και Συμβουλίου, </w:t>
      </w:r>
      <w:hyperlink r:id="rId1" w:tooltip="Επίσημη Εφημερίδα της Ευρωπαϊκής Ένωσης" w:history="1">
        <w:r w:rsidRPr="008F60CC">
          <w:rPr>
            <w:rStyle w:val="Hyperlink"/>
            <w:rFonts w:cstheme="minorHAnsi"/>
            <w:color w:val="1C6194" w:themeColor="accent2" w:themeShade="BF"/>
            <w:sz w:val="20"/>
            <w:szCs w:val="20"/>
            <w:u w:val="none"/>
            <w:lang w:val="el-GR"/>
          </w:rPr>
          <w:t>https://eur-lex.europa.eu/legal-content/EL/TXT/HTML/?uri=CELEX:32007R1445</w:t>
        </w:r>
      </w:hyperlink>
      <w:r w:rsidRPr="00A97CD6">
        <w:rPr>
          <w:rFonts w:eastAsia="Times New Roman" w:cstheme="minorHAnsi"/>
          <w:sz w:val="20"/>
          <w:szCs w:val="20"/>
          <w:lang w:val="el-GR" w:eastAsia="el-GR"/>
        </w:rPr>
        <w:t>.</w:t>
      </w:r>
    </w:p>
  </w:footnote>
  <w:footnote w:id="5">
    <w:p w14:paraId="17DBD4A0" w14:textId="14AECF30" w:rsidR="008F60CC" w:rsidRPr="00A97CD6" w:rsidRDefault="008F60CC" w:rsidP="008F60CC">
      <w:pPr>
        <w:pStyle w:val="FootnoteText"/>
        <w:spacing w:after="60"/>
        <w:jc w:val="both"/>
        <w:rPr>
          <w:rFonts w:cstheme="minorHAnsi"/>
          <w:lang w:val="el-GR"/>
        </w:rPr>
      </w:pPr>
      <w:r w:rsidRPr="00A97CD6">
        <w:rPr>
          <w:rStyle w:val="FootnoteReference"/>
          <w:rFonts w:cstheme="minorHAnsi"/>
          <w:lang w:val="el-GR"/>
        </w:rPr>
        <w:footnoteRef/>
      </w:r>
      <w:r w:rsidRPr="00A97CD6">
        <w:rPr>
          <w:rFonts w:cstheme="minorHAnsi"/>
          <w:lang w:val="el-GR"/>
        </w:rPr>
        <w:t xml:space="preserve"> Το 2023 εφαρμόζεται για πρώτη χρόνια το πιλοτικό πρόγραμμα του Προσωπικού Βοηθού για άτομα με αναπηρία.</w:t>
      </w:r>
    </w:p>
  </w:footnote>
  <w:footnote w:id="6">
    <w:p w14:paraId="6778B7C8" w14:textId="5E7F1599" w:rsidR="008F60CC" w:rsidRPr="00A97CD6" w:rsidRDefault="008F60CC" w:rsidP="008F60CC">
      <w:pPr>
        <w:pStyle w:val="FootnoteText"/>
        <w:spacing w:after="60"/>
        <w:jc w:val="both"/>
        <w:rPr>
          <w:rFonts w:cstheme="minorHAnsi"/>
          <w:lang w:val="el-GR"/>
        </w:rPr>
      </w:pPr>
      <w:r w:rsidRPr="00A97CD6">
        <w:rPr>
          <w:rStyle w:val="FootnoteReference"/>
          <w:rFonts w:cstheme="minorHAnsi"/>
          <w:lang w:val="el-GR"/>
        </w:rPr>
        <w:footnoteRef/>
      </w:r>
      <w:r w:rsidRPr="00A97CD6">
        <w:rPr>
          <w:rFonts w:cstheme="minorHAnsi"/>
          <w:lang w:val="el-GR"/>
        </w:rPr>
        <w:t xml:space="preserve"> </w:t>
      </w:r>
      <w:hyperlink r:id="rId2" w:history="1">
        <w:r w:rsidRPr="008F60CC">
          <w:rPr>
            <w:rStyle w:val="Hyperlink"/>
            <w:rFonts w:cstheme="minorHAnsi"/>
            <w:color w:val="1C6194" w:themeColor="accent2" w:themeShade="BF"/>
            <w:u w:val="none"/>
            <w:lang w:val="el-GR"/>
          </w:rPr>
          <w:t>https://ec.europa.eu/eurostat/databrowser/view/dsb_sprex01/default/table?lang=en&amp;category=dsb.dsb_spr.dsb_sprex</w:t>
        </w:r>
      </w:hyperlink>
    </w:p>
  </w:footnote>
  <w:footnote w:id="7">
    <w:p w14:paraId="1D2F57F3" w14:textId="77777777" w:rsidR="008F60CC" w:rsidRPr="00A97CD6" w:rsidRDefault="008F60CC" w:rsidP="008F60CC">
      <w:pPr>
        <w:pStyle w:val="FootnoteText"/>
        <w:spacing w:after="60"/>
        <w:jc w:val="both"/>
        <w:rPr>
          <w:rFonts w:cstheme="minorHAnsi"/>
          <w:lang w:val="el-GR"/>
        </w:rPr>
      </w:pPr>
      <w:r w:rsidRPr="00A97CD6">
        <w:rPr>
          <w:rStyle w:val="FootnoteReference"/>
          <w:rFonts w:cstheme="minorHAnsi"/>
          <w:lang w:val="el-GR"/>
        </w:rPr>
        <w:footnoteRef/>
      </w:r>
      <w:r w:rsidRPr="00A97CD6">
        <w:rPr>
          <w:rFonts w:cstheme="minorHAnsi"/>
          <w:lang w:val="el-GR"/>
        </w:rPr>
        <w:t xml:space="preserve"> Πηγή: Ελληνική Στατιστική Αρχή.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FF95" w14:textId="4B155F9D" w:rsidR="00375C70" w:rsidRPr="00375C70" w:rsidRDefault="00375C70" w:rsidP="00375C70">
    <w:pPr>
      <w:spacing w:after="0"/>
      <w:jc w:val="both"/>
      <w:rPr>
        <w:color w:val="7F7F7F" w:themeColor="text1" w:themeTint="80"/>
        <w:sz w:val="28"/>
        <w:szCs w:val="28"/>
        <w:lang w:val="el-G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8637" w14:textId="79C2EE51" w:rsidR="007D51AE" w:rsidRDefault="007D51AE">
    <w:pPr>
      <w:pStyle w:val="Header"/>
      <w:spacing w:before="360"/>
      <w:ind w:left="-1701" w:right="-1298"/>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4" w:space="0" w:color="2E653E" w:themeColor="accent5" w:themeShade="BF"/>
        <w:right w:val="none" w:sz="0" w:space="0" w:color="auto"/>
        <w:insideH w:val="none" w:sz="0" w:space="0" w:color="auto"/>
        <w:insideV w:val="none" w:sz="0" w:space="0" w:color="auto"/>
      </w:tblBorders>
      <w:tblLook w:val="04A0" w:firstRow="1" w:lastRow="0" w:firstColumn="1" w:lastColumn="0" w:noHBand="0" w:noVBand="1"/>
    </w:tblPr>
    <w:tblGrid>
      <w:gridCol w:w="5807"/>
      <w:gridCol w:w="2687"/>
    </w:tblGrid>
    <w:tr w:rsidR="0023028E" w14:paraId="308317A1" w14:textId="77777777" w:rsidTr="00191A45">
      <w:tc>
        <w:tcPr>
          <w:tcW w:w="5807" w:type="dxa"/>
        </w:tcPr>
        <w:p w14:paraId="30BCF602" w14:textId="77777777" w:rsidR="0023028E" w:rsidRDefault="0023028E" w:rsidP="0023028E">
          <w:pPr>
            <w:pStyle w:val="Header"/>
            <w:spacing w:before="360"/>
            <w:ind w:right="-1"/>
          </w:pPr>
          <w:r w:rsidRPr="001B7216">
            <w:t>ΔΕΛΤΙΟ ΣΤΑΤΙΣΤΙΚΗΣ ΠΛΗΡΟΦΟΡΗΣΗΣ</w:t>
          </w:r>
        </w:p>
      </w:tc>
      <w:tc>
        <w:tcPr>
          <w:tcW w:w="2687" w:type="dxa"/>
        </w:tcPr>
        <w:p w14:paraId="5C367714" w14:textId="451FC301" w:rsidR="0023028E" w:rsidRPr="001B7216" w:rsidRDefault="0023028E" w:rsidP="0023028E">
          <w:pPr>
            <w:pStyle w:val="Header"/>
            <w:spacing w:before="360"/>
            <w:ind w:right="-1"/>
            <w:jc w:val="right"/>
            <w:rPr>
              <w:lang w:val="el-GR"/>
            </w:rPr>
          </w:pPr>
          <w:r w:rsidRPr="001B7216">
            <w:t xml:space="preserve">2025 </w:t>
          </w:r>
          <w:r>
            <w:sym w:font="Wingdings 2" w:char="F097"/>
          </w:r>
          <w:r>
            <w:rPr>
              <w:lang w:val="el-GR"/>
            </w:rPr>
            <w:t xml:space="preserve"> Τεύχος </w:t>
          </w:r>
          <w:r w:rsidR="00A1797E">
            <w:rPr>
              <w:lang w:val="el-GR"/>
            </w:rPr>
            <w:t>1</w:t>
          </w:r>
        </w:p>
      </w:tc>
    </w:tr>
  </w:tbl>
  <w:p w14:paraId="680B91EC" w14:textId="77777777" w:rsidR="0023028E" w:rsidRPr="0023028E" w:rsidRDefault="0023028E" w:rsidP="00375C70">
    <w:pPr>
      <w:spacing w:after="0"/>
      <w:jc w:val="both"/>
      <w:rPr>
        <w:sz w:val="24"/>
        <w:szCs w:val="24"/>
        <w:lang w:val="el-G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4" w:space="0" w:color="2E653E" w:themeColor="accent5" w:themeShade="BF"/>
        <w:right w:val="none" w:sz="0" w:space="0" w:color="auto"/>
        <w:insideH w:val="none" w:sz="0" w:space="0" w:color="auto"/>
        <w:insideV w:val="none" w:sz="0" w:space="0" w:color="auto"/>
      </w:tblBorders>
      <w:tblLook w:val="04A0" w:firstRow="1" w:lastRow="0" w:firstColumn="1" w:lastColumn="0" w:noHBand="0" w:noVBand="1"/>
    </w:tblPr>
    <w:tblGrid>
      <w:gridCol w:w="5807"/>
      <w:gridCol w:w="2687"/>
    </w:tblGrid>
    <w:tr w:rsidR="001B7216" w14:paraId="5B8C4524" w14:textId="77777777" w:rsidTr="001B7216">
      <w:tc>
        <w:tcPr>
          <w:tcW w:w="5807" w:type="dxa"/>
        </w:tcPr>
        <w:p w14:paraId="049B122D" w14:textId="4A356EC6" w:rsidR="001B7216" w:rsidRDefault="001B7216" w:rsidP="001B7216">
          <w:pPr>
            <w:pStyle w:val="Header"/>
            <w:spacing w:before="360"/>
            <w:ind w:right="-1"/>
          </w:pPr>
          <w:r w:rsidRPr="001B7216">
            <w:t>ΔΕΛΤΙΟ ΣΤΑΤΙΣΤΙΚΗΣ ΠΛΗΡΟΦΟΡΗΣΗΣ</w:t>
          </w:r>
        </w:p>
      </w:tc>
      <w:tc>
        <w:tcPr>
          <w:tcW w:w="2687" w:type="dxa"/>
        </w:tcPr>
        <w:p w14:paraId="4C14F874" w14:textId="379A5BDE" w:rsidR="001B7216" w:rsidRPr="001B7216" w:rsidRDefault="001B7216" w:rsidP="001B7216">
          <w:pPr>
            <w:pStyle w:val="Header"/>
            <w:spacing w:before="360"/>
            <w:ind w:right="-1"/>
            <w:jc w:val="right"/>
            <w:rPr>
              <w:lang w:val="el-GR"/>
            </w:rPr>
          </w:pPr>
          <w:r w:rsidRPr="001B7216">
            <w:t xml:space="preserve">2025 </w:t>
          </w:r>
          <w:r>
            <w:sym w:font="Wingdings 2" w:char="F097"/>
          </w:r>
          <w:r>
            <w:rPr>
              <w:lang w:val="el-GR"/>
            </w:rPr>
            <w:t xml:space="preserve"> Τεύχος 3</w:t>
          </w:r>
        </w:p>
      </w:tc>
    </w:tr>
  </w:tbl>
  <w:p w14:paraId="66A37E55" w14:textId="77777777" w:rsidR="001B7216" w:rsidRDefault="001B7216" w:rsidP="001B721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13E6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E82342"/>
    <w:multiLevelType w:val="multilevel"/>
    <w:tmpl w:val="A180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A4B2E"/>
    <w:multiLevelType w:val="hybridMultilevel"/>
    <w:tmpl w:val="E31E76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 w15:restartNumberingAfterBreak="0">
    <w:nsid w:val="08185B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F667599"/>
    <w:multiLevelType w:val="multilevel"/>
    <w:tmpl w:val="0F66759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06F2225"/>
    <w:multiLevelType w:val="hybridMultilevel"/>
    <w:tmpl w:val="777EAE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6E40A2"/>
    <w:multiLevelType w:val="multilevel"/>
    <w:tmpl w:val="A0F6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A675CB"/>
    <w:multiLevelType w:val="hybridMultilevel"/>
    <w:tmpl w:val="5D026ED4"/>
    <w:lvl w:ilvl="0" w:tplc="FFFFFFFF">
      <w:start w:val="1"/>
      <w:numFmt w:val="bullet"/>
      <w:lvlText w:val="•"/>
      <w:lvlJc w:val="left"/>
      <w:pPr>
        <w:ind w:left="720" w:hanging="360"/>
      </w:p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2CF119B"/>
    <w:multiLevelType w:val="hybridMultilevel"/>
    <w:tmpl w:val="1C368B9E"/>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9A4FC2"/>
    <w:multiLevelType w:val="hybridMultilevel"/>
    <w:tmpl w:val="1DF6B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8A79B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F6E3E99"/>
    <w:multiLevelType w:val="multilevel"/>
    <w:tmpl w:val="4318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7F17EC"/>
    <w:multiLevelType w:val="hybridMultilevel"/>
    <w:tmpl w:val="C16E2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29366F"/>
    <w:multiLevelType w:val="hybridMultilevel"/>
    <w:tmpl w:val="F9549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D301BEB"/>
    <w:multiLevelType w:val="hybridMultilevel"/>
    <w:tmpl w:val="9B8CF4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5C23FE"/>
    <w:multiLevelType w:val="multilevel"/>
    <w:tmpl w:val="1F8A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535D79"/>
    <w:multiLevelType w:val="hybridMultilevel"/>
    <w:tmpl w:val="6A3CE38E"/>
    <w:lvl w:ilvl="0" w:tplc="68FE37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1DD0BE0"/>
    <w:multiLevelType w:val="hybridMultilevel"/>
    <w:tmpl w:val="089EF1AE"/>
    <w:lvl w:ilvl="0" w:tplc="0407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76B254B"/>
    <w:multiLevelType w:val="multilevel"/>
    <w:tmpl w:val="B492E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4D6318"/>
    <w:multiLevelType w:val="multilevel"/>
    <w:tmpl w:val="04090025"/>
    <w:styleLink w:val="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9922EBD"/>
    <w:multiLevelType w:val="multilevel"/>
    <w:tmpl w:val="49922EB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2F00CA9"/>
    <w:multiLevelType w:val="multilevel"/>
    <w:tmpl w:val="52F00CA9"/>
    <w:lvl w:ilvl="0">
      <w:start w:val="1"/>
      <w:numFmt w:val="decimal"/>
      <w:pStyle w:val="Heading1"/>
      <w:lvlText w:val="%1"/>
      <w:lvlJc w:val="left"/>
      <w:pPr>
        <w:ind w:left="432" w:hanging="432"/>
      </w:pPr>
      <w:rPr>
        <w:rFonts w:hint="default"/>
      </w:rPr>
    </w:lvl>
    <w:lvl w:ilvl="1">
      <w:start w:val="1"/>
      <w:numFmt w:val="decimal"/>
      <w:pStyle w:val="Heading2"/>
      <w:lvlText w:val="%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578C62F5"/>
    <w:multiLevelType w:val="multilevel"/>
    <w:tmpl w:val="391E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DB7C8F"/>
    <w:multiLevelType w:val="hybridMultilevel"/>
    <w:tmpl w:val="B2086DB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5CD2377F"/>
    <w:multiLevelType w:val="hybridMultilevel"/>
    <w:tmpl w:val="DF902C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F272BFB"/>
    <w:multiLevelType w:val="hybridMultilevel"/>
    <w:tmpl w:val="CB9CBC16"/>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4DB7A82"/>
    <w:multiLevelType w:val="hybridMultilevel"/>
    <w:tmpl w:val="1CE4A552"/>
    <w:lvl w:ilvl="0" w:tplc="68FE37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73C48D2"/>
    <w:multiLevelType w:val="multilevel"/>
    <w:tmpl w:val="C792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AA1AF6"/>
    <w:multiLevelType w:val="multilevel"/>
    <w:tmpl w:val="20C4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E85CBB"/>
    <w:multiLevelType w:val="hybridMultilevel"/>
    <w:tmpl w:val="70C6F02A"/>
    <w:lvl w:ilvl="0" w:tplc="68FE37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C784E1E"/>
    <w:multiLevelType w:val="hybridMultilevel"/>
    <w:tmpl w:val="DF902C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EC22AD3"/>
    <w:multiLevelType w:val="multilevel"/>
    <w:tmpl w:val="7EC22A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534517">
    <w:abstractNumId w:val="23"/>
  </w:num>
  <w:num w:numId="2" w16cid:durableId="944075374">
    <w:abstractNumId w:val="33"/>
  </w:num>
  <w:num w:numId="3" w16cid:durableId="1907298787">
    <w:abstractNumId w:val="5"/>
  </w:num>
  <w:num w:numId="4" w16cid:durableId="2067676675">
    <w:abstractNumId w:val="14"/>
  </w:num>
  <w:num w:numId="5" w16cid:durableId="1916043130">
    <w:abstractNumId w:val="13"/>
  </w:num>
  <w:num w:numId="6" w16cid:durableId="273951426">
    <w:abstractNumId w:val="4"/>
  </w:num>
  <w:num w:numId="7" w16cid:durableId="120345576">
    <w:abstractNumId w:val="9"/>
  </w:num>
  <w:num w:numId="8" w16cid:durableId="1495073737">
    <w:abstractNumId w:val="0"/>
  </w:num>
  <w:num w:numId="9" w16cid:durableId="36247744">
    <w:abstractNumId w:val="8"/>
  </w:num>
  <w:num w:numId="10" w16cid:durableId="589239434">
    <w:abstractNumId w:val="23"/>
  </w:num>
  <w:num w:numId="11" w16cid:durableId="1756585944">
    <w:abstractNumId w:val="16"/>
  </w:num>
  <w:num w:numId="12" w16cid:durableId="980619968">
    <w:abstractNumId w:val="31"/>
  </w:num>
  <w:num w:numId="13" w16cid:durableId="1795177177">
    <w:abstractNumId w:val="28"/>
  </w:num>
  <w:num w:numId="14" w16cid:durableId="1173228811">
    <w:abstractNumId w:val="11"/>
  </w:num>
  <w:num w:numId="15" w16cid:durableId="1969621067">
    <w:abstractNumId w:val="25"/>
  </w:num>
  <w:num w:numId="16" w16cid:durableId="816990599">
    <w:abstractNumId w:val="23"/>
  </w:num>
  <w:num w:numId="17" w16cid:durableId="789132934">
    <w:abstractNumId w:val="27"/>
  </w:num>
  <w:num w:numId="18" w16cid:durableId="508107810">
    <w:abstractNumId w:val="23"/>
  </w:num>
  <w:num w:numId="19" w16cid:durableId="1824542952">
    <w:abstractNumId w:val="10"/>
  </w:num>
  <w:num w:numId="20" w16cid:durableId="504902417">
    <w:abstractNumId w:val="21"/>
  </w:num>
  <w:num w:numId="21" w16cid:durableId="944846033">
    <w:abstractNumId w:val="19"/>
  </w:num>
  <w:num w:numId="22" w16cid:durableId="24982637">
    <w:abstractNumId w:val="29"/>
  </w:num>
  <w:num w:numId="23" w16cid:durableId="2143620485">
    <w:abstractNumId w:val="12"/>
  </w:num>
  <w:num w:numId="24" w16cid:durableId="110125935">
    <w:abstractNumId w:val="24"/>
  </w:num>
  <w:num w:numId="25" w16cid:durableId="1530755050">
    <w:abstractNumId w:val="17"/>
  </w:num>
  <w:num w:numId="26" w16cid:durableId="1672559459">
    <w:abstractNumId w:val="23"/>
  </w:num>
  <w:num w:numId="27" w16cid:durableId="1006442964">
    <w:abstractNumId w:val="23"/>
  </w:num>
  <w:num w:numId="28" w16cid:durableId="1701589895">
    <w:abstractNumId w:val="23"/>
  </w:num>
  <w:num w:numId="29" w16cid:durableId="481193514">
    <w:abstractNumId w:val="1"/>
  </w:num>
  <w:num w:numId="30" w16cid:durableId="42758706">
    <w:abstractNumId w:val="23"/>
  </w:num>
  <w:num w:numId="31" w16cid:durableId="726758819">
    <w:abstractNumId w:val="23"/>
  </w:num>
  <w:num w:numId="32" w16cid:durableId="755053583">
    <w:abstractNumId w:val="26"/>
  </w:num>
  <w:num w:numId="33" w16cid:durableId="742220491">
    <w:abstractNumId w:val="18"/>
  </w:num>
  <w:num w:numId="34" w16cid:durableId="811950377">
    <w:abstractNumId w:val="6"/>
  </w:num>
  <w:num w:numId="35" w16cid:durableId="208883618">
    <w:abstractNumId w:val="15"/>
  </w:num>
  <w:num w:numId="36" w16cid:durableId="727873218">
    <w:abstractNumId w:val="30"/>
  </w:num>
  <w:num w:numId="37" w16cid:durableId="311721007">
    <w:abstractNumId w:val="32"/>
  </w:num>
  <w:num w:numId="38" w16cid:durableId="1950626602">
    <w:abstractNumId w:val="20"/>
  </w:num>
  <w:num w:numId="39" w16cid:durableId="101193460">
    <w:abstractNumId w:val="2"/>
  </w:num>
  <w:num w:numId="40" w16cid:durableId="1029601349">
    <w:abstractNumId w:val="7"/>
  </w:num>
  <w:num w:numId="41" w16cid:durableId="824514686">
    <w:abstractNumId w:val="23"/>
  </w:num>
  <w:num w:numId="42" w16cid:durableId="1458832498">
    <w:abstractNumId w:val="23"/>
  </w:num>
  <w:num w:numId="43" w16cid:durableId="1822303711">
    <w:abstractNumId w:val="23"/>
  </w:num>
  <w:num w:numId="44" w16cid:durableId="1948006250">
    <w:abstractNumId w:val="23"/>
  </w:num>
  <w:num w:numId="45" w16cid:durableId="1350525928">
    <w:abstractNumId w:val="3"/>
  </w:num>
  <w:num w:numId="46" w16cid:durableId="11646605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FB2"/>
    <w:rsid w:val="00000401"/>
    <w:rsid w:val="00000F04"/>
    <w:rsid w:val="00001B0E"/>
    <w:rsid w:val="00001C48"/>
    <w:rsid w:val="0000287E"/>
    <w:rsid w:val="00004A64"/>
    <w:rsid w:val="00004EFF"/>
    <w:rsid w:val="00004F59"/>
    <w:rsid w:val="00006238"/>
    <w:rsid w:val="00010D6F"/>
    <w:rsid w:val="0001136E"/>
    <w:rsid w:val="00011632"/>
    <w:rsid w:val="00013C12"/>
    <w:rsid w:val="000141B9"/>
    <w:rsid w:val="0001569F"/>
    <w:rsid w:val="00016989"/>
    <w:rsid w:val="00016D4A"/>
    <w:rsid w:val="0002091C"/>
    <w:rsid w:val="00020C87"/>
    <w:rsid w:val="00022E12"/>
    <w:rsid w:val="000235A7"/>
    <w:rsid w:val="00023EA3"/>
    <w:rsid w:val="000251A7"/>
    <w:rsid w:val="00025553"/>
    <w:rsid w:val="00025A72"/>
    <w:rsid w:val="00026292"/>
    <w:rsid w:val="00026AD9"/>
    <w:rsid w:val="00026DEE"/>
    <w:rsid w:val="0002706F"/>
    <w:rsid w:val="00027340"/>
    <w:rsid w:val="00027487"/>
    <w:rsid w:val="000277EF"/>
    <w:rsid w:val="00027AA3"/>
    <w:rsid w:val="00030659"/>
    <w:rsid w:val="00030AC1"/>
    <w:rsid w:val="00030B4F"/>
    <w:rsid w:val="00030B66"/>
    <w:rsid w:val="0003219C"/>
    <w:rsid w:val="000326C8"/>
    <w:rsid w:val="00032998"/>
    <w:rsid w:val="000329A2"/>
    <w:rsid w:val="00033E31"/>
    <w:rsid w:val="0003410A"/>
    <w:rsid w:val="00034FCC"/>
    <w:rsid w:val="000350F5"/>
    <w:rsid w:val="00035153"/>
    <w:rsid w:val="00036148"/>
    <w:rsid w:val="00036267"/>
    <w:rsid w:val="000364EB"/>
    <w:rsid w:val="00036AFB"/>
    <w:rsid w:val="00036E31"/>
    <w:rsid w:val="0003746F"/>
    <w:rsid w:val="00037760"/>
    <w:rsid w:val="000401D1"/>
    <w:rsid w:val="00040C1E"/>
    <w:rsid w:val="00040CA9"/>
    <w:rsid w:val="000431CF"/>
    <w:rsid w:val="00044D92"/>
    <w:rsid w:val="00045C42"/>
    <w:rsid w:val="00046688"/>
    <w:rsid w:val="00047068"/>
    <w:rsid w:val="000476D6"/>
    <w:rsid w:val="0004785C"/>
    <w:rsid w:val="00050137"/>
    <w:rsid w:val="000514F1"/>
    <w:rsid w:val="00051811"/>
    <w:rsid w:val="00053EC9"/>
    <w:rsid w:val="00053EFC"/>
    <w:rsid w:val="0005407D"/>
    <w:rsid w:val="00054AB2"/>
    <w:rsid w:val="00054C66"/>
    <w:rsid w:val="00056783"/>
    <w:rsid w:val="000568F8"/>
    <w:rsid w:val="00056984"/>
    <w:rsid w:val="00057501"/>
    <w:rsid w:val="00057539"/>
    <w:rsid w:val="00057811"/>
    <w:rsid w:val="0005793A"/>
    <w:rsid w:val="00060355"/>
    <w:rsid w:val="000603B1"/>
    <w:rsid w:val="00060F80"/>
    <w:rsid w:val="0006162C"/>
    <w:rsid w:val="00062552"/>
    <w:rsid w:val="00063077"/>
    <w:rsid w:val="0006321F"/>
    <w:rsid w:val="00064787"/>
    <w:rsid w:val="00064A90"/>
    <w:rsid w:val="00064AB8"/>
    <w:rsid w:val="00064AC8"/>
    <w:rsid w:val="00064DB2"/>
    <w:rsid w:val="000655AA"/>
    <w:rsid w:val="000659CC"/>
    <w:rsid w:val="000664D0"/>
    <w:rsid w:val="00066546"/>
    <w:rsid w:val="000674F2"/>
    <w:rsid w:val="00067CD5"/>
    <w:rsid w:val="0007097C"/>
    <w:rsid w:val="00071E02"/>
    <w:rsid w:val="000722E3"/>
    <w:rsid w:val="000723D3"/>
    <w:rsid w:val="00073C36"/>
    <w:rsid w:val="00074BA8"/>
    <w:rsid w:val="00074F40"/>
    <w:rsid w:val="000767A8"/>
    <w:rsid w:val="00076819"/>
    <w:rsid w:val="000769FF"/>
    <w:rsid w:val="0007702B"/>
    <w:rsid w:val="00080E7B"/>
    <w:rsid w:val="00080F8C"/>
    <w:rsid w:val="000817A1"/>
    <w:rsid w:val="00081EB3"/>
    <w:rsid w:val="000825F5"/>
    <w:rsid w:val="00082630"/>
    <w:rsid w:val="00082A5A"/>
    <w:rsid w:val="00083EBB"/>
    <w:rsid w:val="00083F90"/>
    <w:rsid w:val="00085342"/>
    <w:rsid w:val="00086033"/>
    <w:rsid w:val="0008750C"/>
    <w:rsid w:val="00091429"/>
    <w:rsid w:val="000928C5"/>
    <w:rsid w:val="00093E9D"/>
    <w:rsid w:val="00095D5C"/>
    <w:rsid w:val="00095F0B"/>
    <w:rsid w:val="00096618"/>
    <w:rsid w:val="00097592"/>
    <w:rsid w:val="000A3589"/>
    <w:rsid w:val="000A37BA"/>
    <w:rsid w:val="000A4359"/>
    <w:rsid w:val="000A47F8"/>
    <w:rsid w:val="000A67ED"/>
    <w:rsid w:val="000A7205"/>
    <w:rsid w:val="000A7708"/>
    <w:rsid w:val="000B0461"/>
    <w:rsid w:val="000B0FDE"/>
    <w:rsid w:val="000B1003"/>
    <w:rsid w:val="000B3814"/>
    <w:rsid w:val="000B3D31"/>
    <w:rsid w:val="000B4015"/>
    <w:rsid w:val="000B4243"/>
    <w:rsid w:val="000B4AC4"/>
    <w:rsid w:val="000B4DF3"/>
    <w:rsid w:val="000B6006"/>
    <w:rsid w:val="000B6438"/>
    <w:rsid w:val="000B790C"/>
    <w:rsid w:val="000B7F76"/>
    <w:rsid w:val="000C037E"/>
    <w:rsid w:val="000C2646"/>
    <w:rsid w:val="000C28D2"/>
    <w:rsid w:val="000C318A"/>
    <w:rsid w:val="000C33EE"/>
    <w:rsid w:val="000C4095"/>
    <w:rsid w:val="000C40F9"/>
    <w:rsid w:val="000C54CC"/>
    <w:rsid w:val="000C6F93"/>
    <w:rsid w:val="000C75E0"/>
    <w:rsid w:val="000C7AC1"/>
    <w:rsid w:val="000C7D79"/>
    <w:rsid w:val="000D1AD9"/>
    <w:rsid w:val="000D2E29"/>
    <w:rsid w:val="000D2E36"/>
    <w:rsid w:val="000D3BE7"/>
    <w:rsid w:val="000D3C24"/>
    <w:rsid w:val="000D4A31"/>
    <w:rsid w:val="000D4C81"/>
    <w:rsid w:val="000D70C9"/>
    <w:rsid w:val="000E0E48"/>
    <w:rsid w:val="000E1B25"/>
    <w:rsid w:val="000E21F4"/>
    <w:rsid w:val="000E22CF"/>
    <w:rsid w:val="000E2EFC"/>
    <w:rsid w:val="000E494A"/>
    <w:rsid w:val="000E4ABF"/>
    <w:rsid w:val="000E4CB0"/>
    <w:rsid w:val="000E51F1"/>
    <w:rsid w:val="000E56E0"/>
    <w:rsid w:val="000E5ABB"/>
    <w:rsid w:val="000E662B"/>
    <w:rsid w:val="000E6AC3"/>
    <w:rsid w:val="000E6AD4"/>
    <w:rsid w:val="000E7D00"/>
    <w:rsid w:val="000F057C"/>
    <w:rsid w:val="000F09D7"/>
    <w:rsid w:val="000F19A4"/>
    <w:rsid w:val="000F1A80"/>
    <w:rsid w:val="000F1BE8"/>
    <w:rsid w:val="000F20A7"/>
    <w:rsid w:val="000F26F8"/>
    <w:rsid w:val="000F32BF"/>
    <w:rsid w:val="000F3C7D"/>
    <w:rsid w:val="000F464E"/>
    <w:rsid w:val="000F4C2F"/>
    <w:rsid w:val="000F7CB7"/>
    <w:rsid w:val="001001A5"/>
    <w:rsid w:val="00101514"/>
    <w:rsid w:val="001016BA"/>
    <w:rsid w:val="00101E3E"/>
    <w:rsid w:val="00101EAF"/>
    <w:rsid w:val="00102193"/>
    <w:rsid w:val="00102B01"/>
    <w:rsid w:val="001030BE"/>
    <w:rsid w:val="00103585"/>
    <w:rsid w:val="0010411B"/>
    <w:rsid w:val="00104126"/>
    <w:rsid w:val="00105644"/>
    <w:rsid w:val="0010691C"/>
    <w:rsid w:val="00107885"/>
    <w:rsid w:val="00107C12"/>
    <w:rsid w:val="00107F11"/>
    <w:rsid w:val="00111513"/>
    <w:rsid w:val="0011470C"/>
    <w:rsid w:val="00114A1F"/>
    <w:rsid w:val="00115050"/>
    <w:rsid w:val="00115383"/>
    <w:rsid w:val="00117798"/>
    <w:rsid w:val="001178DE"/>
    <w:rsid w:val="00117A73"/>
    <w:rsid w:val="00120801"/>
    <w:rsid w:val="001208F8"/>
    <w:rsid w:val="00121FC3"/>
    <w:rsid w:val="001220B2"/>
    <w:rsid w:val="00122357"/>
    <w:rsid w:val="001228E5"/>
    <w:rsid w:val="00122E0D"/>
    <w:rsid w:val="001240F2"/>
    <w:rsid w:val="001241AA"/>
    <w:rsid w:val="00124938"/>
    <w:rsid w:val="00124A66"/>
    <w:rsid w:val="001254A2"/>
    <w:rsid w:val="00125908"/>
    <w:rsid w:val="00127A30"/>
    <w:rsid w:val="00127A93"/>
    <w:rsid w:val="00127F88"/>
    <w:rsid w:val="00130F9F"/>
    <w:rsid w:val="0013268C"/>
    <w:rsid w:val="00133290"/>
    <w:rsid w:val="0013349F"/>
    <w:rsid w:val="0013471D"/>
    <w:rsid w:val="00135882"/>
    <w:rsid w:val="00135C22"/>
    <w:rsid w:val="00136067"/>
    <w:rsid w:val="00136322"/>
    <w:rsid w:val="0013767A"/>
    <w:rsid w:val="001379D4"/>
    <w:rsid w:val="00137E34"/>
    <w:rsid w:val="00140B0F"/>
    <w:rsid w:val="001412B3"/>
    <w:rsid w:val="001419D8"/>
    <w:rsid w:val="00141A47"/>
    <w:rsid w:val="00141FD5"/>
    <w:rsid w:val="00142759"/>
    <w:rsid w:val="00143389"/>
    <w:rsid w:val="00143650"/>
    <w:rsid w:val="001453ED"/>
    <w:rsid w:val="00146455"/>
    <w:rsid w:val="0014671D"/>
    <w:rsid w:val="00147711"/>
    <w:rsid w:val="0014790E"/>
    <w:rsid w:val="00147AB1"/>
    <w:rsid w:val="00150307"/>
    <w:rsid w:val="00152A10"/>
    <w:rsid w:val="001553C1"/>
    <w:rsid w:val="00155A8F"/>
    <w:rsid w:val="00155B1B"/>
    <w:rsid w:val="00155B9C"/>
    <w:rsid w:val="00156294"/>
    <w:rsid w:val="0015674F"/>
    <w:rsid w:val="00156A87"/>
    <w:rsid w:val="001600E4"/>
    <w:rsid w:val="001612A5"/>
    <w:rsid w:val="001614AC"/>
    <w:rsid w:val="001615F4"/>
    <w:rsid w:val="001623D3"/>
    <w:rsid w:val="00162860"/>
    <w:rsid w:val="001637C5"/>
    <w:rsid w:val="00163E31"/>
    <w:rsid w:val="001644F4"/>
    <w:rsid w:val="001645B6"/>
    <w:rsid w:val="001647E0"/>
    <w:rsid w:val="00164C3B"/>
    <w:rsid w:val="0016570D"/>
    <w:rsid w:val="00165B56"/>
    <w:rsid w:val="00165F59"/>
    <w:rsid w:val="0016630F"/>
    <w:rsid w:val="001668D7"/>
    <w:rsid w:val="00166C4F"/>
    <w:rsid w:val="00167E48"/>
    <w:rsid w:val="0017007C"/>
    <w:rsid w:val="001700B1"/>
    <w:rsid w:val="00170112"/>
    <w:rsid w:val="00172F99"/>
    <w:rsid w:val="00173737"/>
    <w:rsid w:val="00173D7F"/>
    <w:rsid w:val="00174640"/>
    <w:rsid w:val="00175055"/>
    <w:rsid w:val="001755B7"/>
    <w:rsid w:val="00175766"/>
    <w:rsid w:val="001758FE"/>
    <w:rsid w:val="0017715F"/>
    <w:rsid w:val="0017750C"/>
    <w:rsid w:val="00177DE2"/>
    <w:rsid w:val="00180F0E"/>
    <w:rsid w:val="00181D14"/>
    <w:rsid w:val="00181FA0"/>
    <w:rsid w:val="001824E5"/>
    <w:rsid w:val="00182BD8"/>
    <w:rsid w:val="0018317E"/>
    <w:rsid w:val="00185AC3"/>
    <w:rsid w:val="00185F6C"/>
    <w:rsid w:val="001861A9"/>
    <w:rsid w:val="001869DE"/>
    <w:rsid w:val="00187677"/>
    <w:rsid w:val="00190721"/>
    <w:rsid w:val="001912EA"/>
    <w:rsid w:val="00191617"/>
    <w:rsid w:val="00192299"/>
    <w:rsid w:val="0019273B"/>
    <w:rsid w:val="00192DE8"/>
    <w:rsid w:val="00192E40"/>
    <w:rsid w:val="00193C8C"/>
    <w:rsid w:val="0019543B"/>
    <w:rsid w:val="00195DDA"/>
    <w:rsid w:val="00195EFF"/>
    <w:rsid w:val="00196815"/>
    <w:rsid w:val="00196E8E"/>
    <w:rsid w:val="00197483"/>
    <w:rsid w:val="00197632"/>
    <w:rsid w:val="0019781C"/>
    <w:rsid w:val="0019795A"/>
    <w:rsid w:val="00197F60"/>
    <w:rsid w:val="001A02FC"/>
    <w:rsid w:val="001A0A17"/>
    <w:rsid w:val="001A0D2C"/>
    <w:rsid w:val="001A0DAE"/>
    <w:rsid w:val="001A0E0A"/>
    <w:rsid w:val="001A157B"/>
    <w:rsid w:val="001A2A51"/>
    <w:rsid w:val="001A2DB2"/>
    <w:rsid w:val="001A2EF1"/>
    <w:rsid w:val="001A3B5D"/>
    <w:rsid w:val="001A415E"/>
    <w:rsid w:val="001A4803"/>
    <w:rsid w:val="001A4B01"/>
    <w:rsid w:val="001A4B99"/>
    <w:rsid w:val="001A766F"/>
    <w:rsid w:val="001A78F7"/>
    <w:rsid w:val="001B08FE"/>
    <w:rsid w:val="001B0A13"/>
    <w:rsid w:val="001B1CE7"/>
    <w:rsid w:val="001B22E8"/>
    <w:rsid w:val="001B2554"/>
    <w:rsid w:val="001B2983"/>
    <w:rsid w:val="001B38E7"/>
    <w:rsid w:val="001B3FF5"/>
    <w:rsid w:val="001B5099"/>
    <w:rsid w:val="001B7216"/>
    <w:rsid w:val="001B7609"/>
    <w:rsid w:val="001C0348"/>
    <w:rsid w:val="001C03B2"/>
    <w:rsid w:val="001C086F"/>
    <w:rsid w:val="001C153F"/>
    <w:rsid w:val="001C1F90"/>
    <w:rsid w:val="001C3CFE"/>
    <w:rsid w:val="001C503D"/>
    <w:rsid w:val="001C57AF"/>
    <w:rsid w:val="001C5C5D"/>
    <w:rsid w:val="001C6D9B"/>
    <w:rsid w:val="001C752A"/>
    <w:rsid w:val="001D00EE"/>
    <w:rsid w:val="001D0A17"/>
    <w:rsid w:val="001D137C"/>
    <w:rsid w:val="001D19A9"/>
    <w:rsid w:val="001D2A70"/>
    <w:rsid w:val="001D2EDD"/>
    <w:rsid w:val="001D3091"/>
    <w:rsid w:val="001D35FA"/>
    <w:rsid w:val="001D3672"/>
    <w:rsid w:val="001D37F3"/>
    <w:rsid w:val="001D4818"/>
    <w:rsid w:val="001D4E68"/>
    <w:rsid w:val="001D5992"/>
    <w:rsid w:val="001D5F1A"/>
    <w:rsid w:val="001D6A57"/>
    <w:rsid w:val="001D6FC1"/>
    <w:rsid w:val="001D722B"/>
    <w:rsid w:val="001D74D2"/>
    <w:rsid w:val="001D764A"/>
    <w:rsid w:val="001E04ED"/>
    <w:rsid w:val="001E12EA"/>
    <w:rsid w:val="001E323F"/>
    <w:rsid w:val="001E3A64"/>
    <w:rsid w:val="001E48DB"/>
    <w:rsid w:val="001E4AC0"/>
    <w:rsid w:val="001E62B3"/>
    <w:rsid w:val="001E6AAF"/>
    <w:rsid w:val="001E7BA9"/>
    <w:rsid w:val="001F1DDB"/>
    <w:rsid w:val="001F2672"/>
    <w:rsid w:val="001F3B9B"/>
    <w:rsid w:val="001F4A63"/>
    <w:rsid w:val="001F52C8"/>
    <w:rsid w:val="001F5BB9"/>
    <w:rsid w:val="001F63F0"/>
    <w:rsid w:val="001F6A5E"/>
    <w:rsid w:val="001F6EF6"/>
    <w:rsid w:val="001F7564"/>
    <w:rsid w:val="002002E3"/>
    <w:rsid w:val="00200897"/>
    <w:rsid w:val="00200BE7"/>
    <w:rsid w:val="0020258C"/>
    <w:rsid w:val="0020260D"/>
    <w:rsid w:val="0020370F"/>
    <w:rsid w:val="002039C0"/>
    <w:rsid w:val="00203B05"/>
    <w:rsid w:val="00203EB7"/>
    <w:rsid w:val="00204642"/>
    <w:rsid w:val="00204986"/>
    <w:rsid w:val="00206058"/>
    <w:rsid w:val="002073FF"/>
    <w:rsid w:val="00207A89"/>
    <w:rsid w:val="002111E5"/>
    <w:rsid w:val="002116D5"/>
    <w:rsid w:val="00211A50"/>
    <w:rsid w:val="00212CC9"/>
    <w:rsid w:val="00212FFF"/>
    <w:rsid w:val="0021310E"/>
    <w:rsid w:val="00213404"/>
    <w:rsid w:val="002144EA"/>
    <w:rsid w:val="00214700"/>
    <w:rsid w:val="00214EBA"/>
    <w:rsid w:val="0021573C"/>
    <w:rsid w:val="002157AD"/>
    <w:rsid w:val="00216669"/>
    <w:rsid w:val="0021728C"/>
    <w:rsid w:val="002201F2"/>
    <w:rsid w:val="00222527"/>
    <w:rsid w:val="00222C20"/>
    <w:rsid w:val="002250FA"/>
    <w:rsid w:val="00225304"/>
    <w:rsid w:val="00225305"/>
    <w:rsid w:val="00225537"/>
    <w:rsid w:val="002261CA"/>
    <w:rsid w:val="002267EB"/>
    <w:rsid w:val="002269B0"/>
    <w:rsid w:val="00227C7F"/>
    <w:rsid w:val="00227ECE"/>
    <w:rsid w:val="0023028E"/>
    <w:rsid w:val="002309C0"/>
    <w:rsid w:val="00230FEB"/>
    <w:rsid w:val="00231092"/>
    <w:rsid w:val="002313EC"/>
    <w:rsid w:val="00231D4F"/>
    <w:rsid w:val="00231F2B"/>
    <w:rsid w:val="00232921"/>
    <w:rsid w:val="00232D4D"/>
    <w:rsid w:val="00233A09"/>
    <w:rsid w:val="00235081"/>
    <w:rsid w:val="002350D8"/>
    <w:rsid w:val="0023531A"/>
    <w:rsid w:val="002358EA"/>
    <w:rsid w:val="00235A0C"/>
    <w:rsid w:val="00235D14"/>
    <w:rsid w:val="002369C6"/>
    <w:rsid w:val="00236EB1"/>
    <w:rsid w:val="00237E8E"/>
    <w:rsid w:val="0024145D"/>
    <w:rsid w:val="002430DA"/>
    <w:rsid w:val="0024323F"/>
    <w:rsid w:val="0024363C"/>
    <w:rsid w:val="00244749"/>
    <w:rsid w:val="00245176"/>
    <w:rsid w:val="00245597"/>
    <w:rsid w:val="00246088"/>
    <w:rsid w:val="00246356"/>
    <w:rsid w:val="00246EDE"/>
    <w:rsid w:val="00247073"/>
    <w:rsid w:val="0024776C"/>
    <w:rsid w:val="002521B4"/>
    <w:rsid w:val="00253166"/>
    <w:rsid w:val="00253A53"/>
    <w:rsid w:val="00254934"/>
    <w:rsid w:val="00254B28"/>
    <w:rsid w:val="00254B70"/>
    <w:rsid w:val="00255BAD"/>
    <w:rsid w:val="002561F5"/>
    <w:rsid w:val="0025661F"/>
    <w:rsid w:val="00257015"/>
    <w:rsid w:val="00257BD8"/>
    <w:rsid w:val="00260620"/>
    <w:rsid w:val="00260D0E"/>
    <w:rsid w:val="00263D20"/>
    <w:rsid w:val="002640C3"/>
    <w:rsid w:val="0026429F"/>
    <w:rsid w:val="002648EF"/>
    <w:rsid w:val="0026536B"/>
    <w:rsid w:val="002653D4"/>
    <w:rsid w:val="002668BB"/>
    <w:rsid w:val="002669F4"/>
    <w:rsid w:val="00267765"/>
    <w:rsid w:val="002679EF"/>
    <w:rsid w:val="00271088"/>
    <w:rsid w:val="002710F5"/>
    <w:rsid w:val="00271EC1"/>
    <w:rsid w:val="00272C22"/>
    <w:rsid w:val="00273C2C"/>
    <w:rsid w:val="00273E07"/>
    <w:rsid w:val="0027406D"/>
    <w:rsid w:val="00274357"/>
    <w:rsid w:val="00275014"/>
    <w:rsid w:val="00275553"/>
    <w:rsid w:val="0027752E"/>
    <w:rsid w:val="00277FC6"/>
    <w:rsid w:val="00281166"/>
    <w:rsid w:val="00282458"/>
    <w:rsid w:val="002835DA"/>
    <w:rsid w:val="00283ECB"/>
    <w:rsid w:val="00285961"/>
    <w:rsid w:val="00290406"/>
    <w:rsid w:val="00291173"/>
    <w:rsid w:val="00291A1F"/>
    <w:rsid w:val="0029276C"/>
    <w:rsid w:val="00293743"/>
    <w:rsid w:val="0029431E"/>
    <w:rsid w:val="002943E5"/>
    <w:rsid w:val="00294795"/>
    <w:rsid w:val="002956E5"/>
    <w:rsid w:val="00297B4E"/>
    <w:rsid w:val="002A09DB"/>
    <w:rsid w:val="002A1383"/>
    <w:rsid w:val="002A1BE9"/>
    <w:rsid w:val="002A1C99"/>
    <w:rsid w:val="002A2355"/>
    <w:rsid w:val="002A2BAE"/>
    <w:rsid w:val="002A3AA8"/>
    <w:rsid w:val="002A4671"/>
    <w:rsid w:val="002A52A1"/>
    <w:rsid w:val="002A52C8"/>
    <w:rsid w:val="002A5A3A"/>
    <w:rsid w:val="002A5E5A"/>
    <w:rsid w:val="002A7F9A"/>
    <w:rsid w:val="002B0AD5"/>
    <w:rsid w:val="002B0F74"/>
    <w:rsid w:val="002B1568"/>
    <w:rsid w:val="002B16EC"/>
    <w:rsid w:val="002B292D"/>
    <w:rsid w:val="002B2E7D"/>
    <w:rsid w:val="002B2EB9"/>
    <w:rsid w:val="002B316F"/>
    <w:rsid w:val="002B508B"/>
    <w:rsid w:val="002B59B0"/>
    <w:rsid w:val="002B6A65"/>
    <w:rsid w:val="002B6E3E"/>
    <w:rsid w:val="002C0A1C"/>
    <w:rsid w:val="002C0B3C"/>
    <w:rsid w:val="002C0BE8"/>
    <w:rsid w:val="002C10B1"/>
    <w:rsid w:val="002C113D"/>
    <w:rsid w:val="002C2221"/>
    <w:rsid w:val="002C2572"/>
    <w:rsid w:val="002C47EE"/>
    <w:rsid w:val="002C4D68"/>
    <w:rsid w:val="002C52CE"/>
    <w:rsid w:val="002C5A76"/>
    <w:rsid w:val="002C5DE1"/>
    <w:rsid w:val="002C6570"/>
    <w:rsid w:val="002C71A4"/>
    <w:rsid w:val="002C75E5"/>
    <w:rsid w:val="002C7C23"/>
    <w:rsid w:val="002D072A"/>
    <w:rsid w:val="002D0B63"/>
    <w:rsid w:val="002D0E42"/>
    <w:rsid w:val="002D115E"/>
    <w:rsid w:val="002D1D04"/>
    <w:rsid w:val="002D2023"/>
    <w:rsid w:val="002D2673"/>
    <w:rsid w:val="002D37CA"/>
    <w:rsid w:val="002D395C"/>
    <w:rsid w:val="002D3EEB"/>
    <w:rsid w:val="002D40C5"/>
    <w:rsid w:val="002D557F"/>
    <w:rsid w:val="002D6209"/>
    <w:rsid w:val="002D679C"/>
    <w:rsid w:val="002D7011"/>
    <w:rsid w:val="002D70C9"/>
    <w:rsid w:val="002D7418"/>
    <w:rsid w:val="002D7B7A"/>
    <w:rsid w:val="002E06AB"/>
    <w:rsid w:val="002E13B5"/>
    <w:rsid w:val="002E161F"/>
    <w:rsid w:val="002E29C0"/>
    <w:rsid w:val="002E3124"/>
    <w:rsid w:val="002E3266"/>
    <w:rsid w:val="002E378C"/>
    <w:rsid w:val="002E45AD"/>
    <w:rsid w:val="002E4CB4"/>
    <w:rsid w:val="002E5997"/>
    <w:rsid w:val="002E60B3"/>
    <w:rsid w:val="002E6272"/>
    <w:rsid w:val="002E70E3"/>
    <w:rsid w:val="002E7347"/>
    <w:rsid w:val="002E7665"/>
    <w:rsid w:val="002E7B62"/>
    <w:rsid w:val="002F00F5"/>
    <w:rsid w:val="002F03FF"/>
    <w:rsid w:val="002F1E9B"/>
    <w:rsid w:val="002F1EC5"/>
    <w:rsid w:val="002F2388"/>
    <w:rsid w:val="002F45E8"/>
    <w:rsid w:val="002F4B34"/>
    <w:rsid w:val="002F56E7"/>
    <w:rsid w:val="002F5C47"/>
    <w:rsid w:val="002F5DEA"/>
    <w:rsid w:val="002F77B6"/>
    <w:rsid w:val="00300331"/>
    <w:rsid w:val="00301453"/>
    <w:rsid w:val="00301FD6"/>
    <w:rsid w:val="00302DC9"/>
    <w:rsid w:val="0030347E"/>
    <w:rsid w:val="00303E53"/>
    <w:rsid w:val="00304086"/>
    <w:rsid w:val="0030416A"/>
    <w:rsid w:val="00305F28"/>
    <w:rsid w:val="00306EBA"/>
    <w:rsid w:val="00306F87"/>
    <w:rsid w:val="003070F3"/>
    <w:rsid w:val="00315B61"/>
    <w:rsid w:val="003161F4"/>
    <w:rsid w:val="00316412"/>
    <w:rsid w:val="00316833"/>
    <w:rsid w:val="00316B0A"/>
    <w:rsid w:val="00317A10"/>
    <w:rsid w:val="00317D0D"/>
    <w:rsid w:val="00317ED8"/>
    <w:rsid w:val="003201B9"/>
    <w:rsid w:val="0032045D"/>
    <w:rsid w:val="00321450"/>
    <w:rsid w:val="00322550"/>
    <w:rsid w:val="00323EF5"/>
    <w:rsid w:val="00324516"/>
    <w:rsid w:val="00324D05"/>
    <w:rsid w:val="00324D53"/>
    <w:rsid w:val="0032679F"/>
    <w:rsid w:val="00326A57"/>
    <w:rsid w:val="003275A4"/>
    <w:rsid w:val="003276EB"/>
    <w:rsid w:val="00331DFE"/>
    <w:rsid w:val="0033245E"/>
    <w:rsid w:val="003330EA"/>
    <w:rsid w:val="00333438"/>
    <w:rsid w:val="00333599"/>
    <w:rsid w:val="00333895"/>
    <w:rsid w:val="0033391E"/>
    <w:rsid w:val="00334A96"/>
    <w:rsid w:val="00335087"/>
    <w:rsid w:val="003350FE"/>
    <w:rsid w:val="00335BE3"/>
    <w:rsid w:val="003361D5"/>
    <w:rsid w:val="003363E1"/>
    <w:rsid w:val="00336623"/>
    <w:rsid w:val="00337707"/>
    <w:rsid w:val="00341B31"/>
    <w:rsid w:val="00342280"/>
    <w:rsid w:val="003436DD"/>
    <w:rsid w:val="00343769"/>
    <w:rsid w:val="00343876"/>
    <w:rsid w:val="0034403A"/>
    <w:rsid w:val="00344B44"/>
    <w:rsid w:val="003460F2"/>
    <w:rsid w:val="00347356"/>
    <w:rsid w:val="00347517"/>
    <w:rsid w:val="003478A0"/>
    <w:rsid w:val="00347A10"/>
    <w:rsid w:val="00347FD2"/>
    <w:rsid w:val="003504F6"/>
    <w:rsid w:val="00351FD5"/>
    <w:rsid w:val="003520BD"/>
    <w:rsid w:val="003529E6"/>
    <w:rsid w:val="00352D70"/>
    <w:rsid w:val="003530C9"/>
    <w:rsid w:val="003533B1"/>
    <w:rsid w:val="003533DE"/>
    <w:rsid w:val="00353835"/>
    <w:rsid w:val="00354249"/>
    <w:rsid w:val="00354E9A"/>
    <w:rsid w:val="00355317"/>
    <w:rsid w:val="003570AA"/>
    <w:rsid w:val="003572AC"/>
    <w:rsid w:val="00357E25"/>
    <w:rsid w:val="0036020D"/>
    <w:rsid w:val="0036077E"/>
    <w:rsid w:val="00360CB7"/>
    <w:rsid w:val="00360F1B"/>
    <w:rsid w:val="003621D5"/>
    <w:rsid w:val="003626C7"/>
    <w:rsid w:val="00362E4B"/>
    <w:rsid w:val="00363494"/>
    <w:rsid w:val="003638B2"/>
    <w:rsid w:val="00363FF6"/>
    <w:rsid w:val="003645F9"/>
    <w:rsid w:val="003652B9"/>
    <w:rsid w:val="00365324"/>
    <w:rsid w:val="00365AD7"/>
    <w:rsid w:val="0036626B"/>
    <w:rsid w:val="00367060"/>
    <w:rsid w:val="003677F5"/>
    <w:rsid w:val="00371608"/>
    <w:rsid w:val="00372060"/>
    <w:rsid w:val="00372803"/>
    <w:rsid w:val="00372818"/>
    <w:rsid w:val="00373A86"/>
    <w:rsid w:val="00373B94"/>
    <w:rsid w:val="00374572"/>
    <w:rsid w:val="003746A6"/>
    <w:rsid w:val="00375C70"/>
    <w:rsid w:val="00377025"/>
    <w:rsid w:val="003775B4"/>
    <w:rsid w:val="003800AB"/>
    <w:rsid w:val="00380154"/>
    <w:rsid w:val="00380183"/>
    <w:rsid w:val="00381A73"/>
    <w:rsid w:val="00382583"/>
    <w:rsid w:val="003827A0"/>
    <w:rsid w:val="00382CC6"/>
    <w:rsid w:val="00382EFA"/>
    <w:rsid w:val="003843F1"/>
    <w:rsid w:val="0038477D"/>
    <w:rsid w:val="003848BC"/>
    <w:rsid w:val="003855FE"/>
    <w:rsid w:val="0038573B"/>
    <w:rsid w:val="00385E69"/>
    <w:rsid w:val="003861E8"/>
    <w:rsid w:val="00390E5D"/>
    <w:rsid w:val="003910F9"/>
    <w:rsid w:val="0039264E"/>
    <w:rsid w:val="00393F0D"/>
    <w:rsid w:val="00394F81"/>
    <w:rsid w:val="00397072"/>
    <w:rsid w:val="00397933"/>
    <w:rsid w:val="00397972"/>
    <w:rsid w:val="00397A70"/>
    <w:rsid w:val="003A006D"/>
    <w:rsid w:val="003A0273"/>
    <w:rsid w:val="003A0D20"/>
    <w:rsid w:val="003A1BE5"/>
    <w:rsid w:val="003A3495"/>
    <w:rsid w:val="003A34BA"/>
    <w:rsid w:val="003A4054"/>
    <w:rsid w:val="003A48E6"/>
    <w:rsid w:val="003A55E1"/>
    <w:rsid w:val="003A599D"/>
    <w:rsid w:val="003A5D8D"/>
    <w:rsid w:val="003A6C73"/>
    <w:rsid w:val="003A7E34"/>
    <w:rsid w:val="003B1441"/>
    <w:rsid w:val="003B168D"/>
    <w:rsid w:val="003B1742"/>
    <w:rsid w:val="003B41D9"/>
    <w:rsid w:val="003B4A60"/>
    <w:rsid w:val="003B4C8A"/>
    <w:rsid w:val="003B4D49"/>
    <w:rsid w:val="003B52E6"/>
    <w:rsid w:val="003B54D2"/>
    <w:rsid w:val="003B731F"/>
    <w:rsid w:val="003C0900"/>
    <w:rsid w:val="003C0A09"/>
    <w:rsid w:val="003C0C5D"/>
    <w:rsid w:val="003C1230"/>
    <w:rsid w:val="003C1442"/>
    <w:rsid w:val="003C1E35"/>
    <w:rsid w:val="003C3ECF"/>
    <w:rsid w:val="003C4A75"/>
    <w:rsid w:val="003C5D81"/>
    <w:rsid w:val="003C66F6"/>
    <w:rsid w:val="003C73ED"/>
    <w:rsid w:val="003C7725"/>
    <w:rsid w:val="003D06FB"/>
    <w:rsid w:val="003D15AB"/>
    <w:rsid w:val="003D1CAE"/>
    <w:rsid w:val="003D1DB7"/>
    <w:rsid w:val="003D3956"/>
    <w:rsid w:val="003D411F"/>
    <w:rsid w:val="003D41C5"/>
    <w:rsid w:val="003D5410"/>
    <w:rsid w:val="003D5B0B"/>
    <w:rsid w:val="003D6928"/>
    <w:rsid w:val="003D722C"/>
    <w:rsid w:val="003D74B4"/>
    <w:rsid w:val="003D7554"/>
    <w:rsid w:val="003E0A03"/>
    <w:rsid w:val="003E1175"/>
    <w:rsid w:val="003E2626"/>
    <w:rsid w:val="003E5906"/>
    <w:rsid w:val="003E668B"/>
    <w:rsid w:val="003E68AA"/>
    <w:rsid w:val="003E692F"/>
    <w:rsid w:val="003E6C76"/>
    <w:rsid w:val="003E6FF1"/>
    <w:rsid w:val="003E7456"/>
    <w:rsid w:val="003E7668"/>
    <w:rsid w:val="003E76B6"/>
    <w:rsid w:val="003F03DB"/>
    <w:rsid w:val="003F0500"/>
    <w:rsid w:val="003F06B5"/>
    <w:rsid w:val="003F12F6"/>
    <w:rsid w:val="003F2D35"/>
    <w:rsid w:val="003F3C89"/>
    <w:rsid w:val="003F3ED3"/>
    <w:rsid w:val="003F4529"/>
    <w:rsid w:val="003F5308"/>
    <w:rsid w:val="003F5690"/>
    <w:rsid w:val="003F79E1"/>
    <w:rsid w:val="00400995"/>
    <w:rsid w:val="00400C58"/>
    <w:rsid w:val="00401F78"/>
    <w:rsid w:val="00401FCA"/>
    <w:rsid w:val="004021EE"/>
    <w:rsid w:val="004026A8"/>
    <w:rsid w:val="00402869"/>
    <w:rsid w:val="00402980"/>
    <w:rsid w:val="00403188"/>
    <w:rsid w:val="00403575"/>
    <w:rsid w:val="0040381B"/>
    <w:rsid w:val="00403970"/>
    <w:rsid w:val="004047E3"/>
    <w:rsid w:val="004051C2"/>
    <w:rsid w:val="004062BB"/>
    <w:rsid w:val="00406905"/>
    <w:rsid w:val="004075FF"/>
    <w:rsid w:val="0041004B"/>
    <w:rsid w:val="004118D1"/>
    <w:rsid w:val="0041191D"/>
    <w:rsid w:val="00411B16"/>
    <w:rsid w:val="00411EDC"/>
    <w:rsid w:val="0041241D"/>
    <w:rsid w:val="004124FE"/>
    <w:rsid w:val="0041280A"/>
    <w:rsid w:val="00412EF4"/>
    <w:rsid w:val="00413974"/>
    <w:rsid w:val="00413BC4"/>
    <w:rsid w:val="004143F9"/>
    <w:rsid w:val="00414EA5"/>
    <w:rsid w:val="0041507C"/>
    <w:rsid w:val="00415ED7"/>
    <w:rsid w:val="00417396"/>
    <w:rsid w:val="00417678"/>
    <w:rsid w:val="0041790F"/>
    <w:rsid w:val="00417AD9"/>
    <w:rsid w:val="00420445"/>
    <w:rsid w:val="00421ACC"/>
    <w:rsid w:val="0042213A"/>
    <w:rsid w:val="00423517"/>
    <w:rsid w:val="004244D6"/>
    <w:rsid w:val="00424690"/>
    <w:rsid w:val="004248C3"/>
    <w:rsid w:val="00424ABE"/>
    <w:rsid w:val="00425E15"/>
    <w:rsid w:val="00425E78"/>
    <w:rsid w:val="004260E4"/>
    <w:rsid w:val="00426F39"/>
    <w:rsid w:val="00432806"/>
    <w:rsid w:val="004338AF"/>
    <w:rsid w:val="00433BB2"/>
    <w:rsid w:val="00433EFC"/>
    <w:rsid w:val="00433F23"/>
    <w:rsid w:val="00434115"/>
    <w:rsid w:val="004350D0"/>
    <w:rsid w:val="00435226"/>
    <w:rsid w:val="00435416"/>
    <w:rsid w:val="004354CC"/>
    <w:rsid w:val="00435882"/>
    <w:rsid w:val="00436797"/>
    <w:rsid w:val="00436DBE"/>
    <w:rsid w:val="00437DAE"/>
    <w:rsid w:val="00437DF9"/>
    <w:rsid w:val="00440657"/>
    <w:rsid w:val="00441911"/>
    <w:rsid w:val="00442325"/>
    <w:rsid w:val="00442933"/>
    <w:rsid w:val="004436CA"/>
    <w:rsid w:val="00443937"/>
    <w:rsid w:val="004439B3"/>
    <w:rsid w:val="00443B04"/>
    <w:rsid w:val="00444E74"/>
    <w:rsid w:val="00446DA9"/>
    <w:rsid w:val="00450210"/>
    <w:rsid w:val="004512FC"/>
    <w:rsid w:val="00451479"/>
    <w:rsid w:val="00451BC5"/>
    <w:rsid w:val="00451C05"/>
    <w:rsid w:val="004528C4"/>
    <w:rsid w:val="004528CB"/>
    <w:rsid w:val="00455CB4"/>
    <w:rsid w:val="00455D7B"/>
    <w:rsid w:val="00456D60"/>
    <w:rsid w:val="004605AD"/>
    <w:rsid w:val="0046080C"/>
    <w:rsid w:val="004609C3"/>
    <w:rsid w:val="00460A4C"/>
    <w:rsid w:val="00460C31"/>
    <w:rsid w:val="004621F5"/>
    <w:rsid w:val="00462C69"/>
    <w:rsid w:val="0046414A"/>
    <w:rsid w:val="00464451"/>
    <w:rsid w:val="004645B2"/>
    <w:rsid w:val="00466489"/>
    <w:rsid w:val="004706AA"/>
    <w:rsid w:val="00470FA1"/>
    <w:rsid w:val="004714DA"/>
    <w:rsid w:val="0047265B"/>
    <w:rsid w:val="004729BA"/>
    <w:rsid w:val="004735C6"/>
    <w:rsid w:val="00474407"/>
    <w:rsid w:val="004764D9"/>
    <w:rsid w:val="00477EED"/>
    <w:rsid w:val="00480C39"/>
    <w:rsid w:val="004814FD"/>
    <w:rsid w:val="00481697"/>
    <w:rsid w:val="00481743"/>
    <w:rsid w:val="00481783"/>
    <w:rsid w:val="00482356"/>
    <w:rsid w:val="00482515"/>
    <w:rsid w:val="00482E4F"/>
    <w:rsid w:val="00483058"/>
    <w:rsid w:val="004830CA"/>
    <w:rsid w:val="0048373F"/>
    <w:rsid w:val="00483A56"/>
    <w:rsid w:val="00484316"/>
    <w:rsid w:val="0048470E"/>
    <w:rsid w:val="00484A6E"/>
    <w:rsid w:val="0048558A"/>
    <w:rsid w:val="0048585E"/>
    <w:rsid w:val="00485C27"/>
    <w:rsid w:val="004914CE"/>
    <w:rsid w:val="0049151C"/>
    <w:rsid w:val="004940EC"/>
    <w:rsid w:val="00494798"/>
    <w:rsid w:val="0049766E"/>
    <w:rsid w:val="00497856"/>
    <w:rsid w:val="004A11C5"/>
    <w:rsid w:val="004A1351"/>
    <w:rsid w:val="004A1520"/>
    <w:rsid w:val="004A18A7"/>
    <w:rsid w:val="004A1ACF"/>
    <w:rsid w:val="004A24E5"/>
    <w:rsid w:val="004A260C"/>
    <w:rsid w:val="004A2775"/>
    <w:rsid w:val="004A2FA3"/>
    <w:rsid w:val="004A47B4"/>
    <w:rsid w:val="004A4C17"/>
    <w:rsid w:val="004A60B7"/>
    <w:rsid w:val="004A6923"/>
    <w:rsid w:val="004A6CA0"/>
    <w:rsid w:val="004B1F01"/>
    <w:rsid w:val="004B2C6E"/>
    <w:rsid w:val="004B2CB0"/>
    <w:rsid w:val="004B3D97"/>
    <w:rsid w:val="004B4ABC"/>
    <w:rsid w:val="004B4CE9"/>
    <w:rsid w:val="004B58EB"/>
    <w:rsid w:val="004B679B"/>
    <w:rsid w:val="004C01B4"/>
    <w:rsid w:val="004C09FE"/>
    <w:rsid w:val="004C0E44"/>
    <w:rsid w:val="004C17B4"/>
    <w:rsid w:val="004C1DBD"/>
    <w:rsid w:val="004C1FCC"/>
    <w:rsid w:val="004C2FDF"/>
    <w:rsid w:val="004C332A"/>
    <w:rsid w:val="004C493F"/>
    <w:rsid w:val="004C4C0A"/>
    <w:rsid w:val="004C5306"/>
    <w:rsid w:val="004C5414"/>
    <w:rsid w:val="004C5E51"/>
    <w:rsid w:val="004C61CC"/>
    <w:rsid w:val="004C750D"/>
    <w:rsid w:val="004C78D6"/>
    <w:rsid w:val="004D0492"/>
    <w:rsid w:val="004D139C"/>
    <w:rsid w:val="004D350F"/>
    <w:rsid w:val="004D46EB"/>
    <w:rsid w:val="004D4964"/>
    <w:rsid w:val="004D49D2"/>
    <w:rsid w:val="004D5455"/>
    <w:rsid w:val="004D5E86"/>
    <w:rsid w:val="004D620B"/>
    <w:rsid w:val="004D6D0C"/>
    <w:rsid w:val="004E0417"/>
    <w:rsid w:val="004E041B"/>
    <w:rsid w:val="004E0BF7"/>
    <w:rsid w:val="004E0F51"/>
    <w:rsid w:val="004E12F3"/>
    <w:rsid w:val="004E197B"/>
    <w:rsid w:val="004E27F8"/>
    <w:rsid w:val="004E35A8"/>
    <w:rsid w:val="004E50C9"/>
    <w:rsid w:val="004E6498"/>
    <w:rsid w:val="004E698D"/>
    <w:rsid w:val="004E7181"/>
    <w:rsid w:val="004E71C3"/>
    <w:rsid w:val="004E73A2"/>
    <w:rsid w:val="004E78DA"/>
    <w:rsid w:val="004F0089"/>
    <w:rsid w:val="004F00E1"/>
    <w:rsid w:val="004F08D5"/>
    <w:rsid w:val="004F10BA"/>
    <w:rsid w:val="004F16AA"/>
    <w:rsid w:val="004F2C04"/>
    <w:rsid w:val="004F2C5F"/>
    <w:rsid w:val="004F2E54"/>
    <w:rsid w:val="004F3964"/>
    <w:rsid w:val="004F3A27"/>
    <w:rsid w:val="004F3C53"/>
    <w:rsid w:val="004F4406"/>
    <w:rsid w:val="004F4D05"/>
    <w:rsid w:val="004F4F99"/>
    <w:rsid w:val="00500FD1"/>
    <w:rsid w:val="00502F99"/>
    <w:rsid w:val="0050408D"/>
    <w:rsid w:val="00504767"/>
    <w:rsid w:val="00505FCA"/>
    <w:rsid w:val="00507824"/>
    <w:rsid w:val="005108B6"/>
    <w:rsid w:val="00510A64"/>
    <w:rsid w:val="00511365"/>
    <w:rsid w:val="00511397"/>
    <w:rsid w:val="00511873"/>
    <w:rsid w:val="005127E0"/>
    <w:rsid w:val="00513B57"/>
    <w:rsid w:val="00513D40"/>
    <w:rsid w:val="0051441E"/>
    <w:rsid w:val="005146A2"/>
    <w:rsid w:val="00514A5E"/>
    <w:rsid w:val="005150B8"/>
    <w:rsid w:val="005164F5"/>
    <w:rsid w:val="00516A9A"/>
    <w:rsid w:val="00516B04"/>
    <w:rsid w:val="00520996"/>
    <w:rsid w:val="005219CB"/>
    <w:rsid w:val="00521BB5"/>
    <w:rsid w:val="00521D8A"/>
    <w:rsid w:val="00521DDF"/>
    <w:rsid w:val="00522FD7"/>
    <w:rsid w:val="005242B7"/>
    <w:rsid w:val="005246BC"/>
    <w:rsid w:val="00524840"/>
    <w:rsid w:val="00524B9D"/>
    <w:rsid w:val="00525444"/>
    <w:rsid w:val="00527491"/>
    <w:rsid w:val="00527F5B"/>
    <w:rsid w:val="00530E74"/>
    <w:rsid w:val="005310AA"/>
    <w:rsid w:val="005312F9"/>
    <w:rsid w:val="0053212E"/>
    <w:rsid w:val="00532FD6"/>
    <w:rsid w:val="00536239"/>
    <w:rsid w:val="005379FE"/>
    <w:rsid w:val="00537E9A"/>
    <w:rsid w:val="005403BF"/>
    <w:rsid w:val="0054186C"/>
    <w:rsid w:val="00542105"/>
    <w:rsid w:val="00542541"/>
    <w:rsid w:val="00542583"/>
    <w:rsid w:val="0054263A"/>
    <w:rsid w:val="00542A08"/>
    <w:rsid w:val="005439C9"/>
    <w:rsid w:val="00544395"/>
    <w:rsid w:val="00544537"/>
    <w:rsid w:val="00544E8D"/>
    <w:rsid w:val="005452E8"/>
    <w:rsid w:val="00545B7C"/>
    <w:rsid w:val="005506D9"/>
    <w:rsid w:val="00550A39"/>
    <w:rsid w:val="00550C68"/>
    <w:rsid w:val="00550DC9"/>
    <w:rsid w:val="00550E07"/>
    <w:rsid w:val="00551336"/>
    <w:rsid w:val="005529CD"/>
    <w:rsid w:val="00553404"/>
    <w:rsid w:val="00554C4F"/>
    <w:rsid w:val="00554D67"/>
    <w:rsid w:val="0055668F"/>
    <w:rsid w:val="00556F7D"/>
    <w:rsid w:val="00557A71"/>
    <w:rsid w:val="00557CA0"/>
    <w:rsid w:val="00557E2A"/>
    <w:rsid w:val="00557F14"/>
    <w:rsid w:val="005603BC"/>
    <w:rsid w:val="005605B6"/>
    <w:rsid w:val="005609B8"/>
    <w:rsid w:val="005611BD"/>
    <w:rsid w:val="00561CA1"/>
    <w:rsid w:val="005620BF"/>
    <w:rsid w:val="005633DD"/>
    <w:rsid w:val="00563BD6"/>
    <w:rsid w:val="00564A98"/>
    <w:rsid w:val="00566630"/>
    <w:rsid w:val="00566AFF"/>
    <w:rsid w:val="00567053"/>
    <w:rsid w:val="00567189"/>
    <w:rsid w:val="005702E1"/>
    <w:rsid w:val="00570B2E"/>
    <w:rsid w:val="005710A7"/>
    <w:rsid w:val="00571304"/>
    <w:rsid w:val="00571ABE"/>
    <w:rsid w:val="005723E4"/>
    <w:rsid w:val="00573338"/>
    <w:rsid w:val="00573DB6"/>
    <w:rsid w:val="00574351"/>
    <w:rsid w:val="00574487"/>
    <w:rsid w:val="00574E70"/>
    <w:rsid w:val="00576873"/>
    <w:rsid w:val="00576A71"/>
    <w:rsid w:val="0057786D"/>
    <w:rsid w:val="00580806"/>
    <w:rsid w:val="0058101A"/>
    <w:rsid w:val="00581031"/>
    <w:rsid w:val="00581398"/>
    <w:rsid w:val="00581AD6"/>
    <w:rsid w:val="00583780"/>
    <w:rsid w:val="005858A3"/>
    <w:rsid w:val="005862C2"/>
    <w:rsid w:val="0058655B"/>
    <w:rsid w:val="00586AE7"/>
    <w:rsid w:val="00587BB1"/>
    <w:rsid w:val="00587F16"/>
    <w:rsid w:val="005908E3"/>
    <w:rsid w:val="00590E56"/>
    <w:rsid w:val="005918F7"/>
    <w:rsid w:val="005919BA"/>
    <w:rsid w:val="005922C2"/>
    <w:rsid w:val="0059344F"/>
    <w:rsid w:val="005940C2"/>
    <w:rsid w:val="005943CF"/>
    <w:rsid w:val="00594E1E"/>
    <w:rsid w:val="00594EE7"/>
    <w:rsid w:val="00595E3B"/>
    <w:rsid w:val="005963AD"/>
    <w:rsid w:val="0059663C"/>
    <w:rsid w:val="00596A26"/>
    <w:rsid w:val="0059728A"/>
    <w:rsid w:val="005976C6"/>
    <w:rsid w:val="005A04FD"/>
    <w:rsid w:val="005A05BD"/>
    <w:rsid w:val="005A0678"/>
    <w:rsid w:val="005A0867"/>
    <w:rsid w:val="005A1000"/>
    <w:rsid w:val="005A1B20"/>
    <w:rsid w:val="005A2167"/>
    <w:rsid w:val="005A2557"/>
    <w:rsid w:val="005A360F"/>
    <w:rsid w:val="005A4BDA"/>
    <w:rsid w:val="005A5477"/>
    <w:rsid w:val="005A5AE9"/>
    <w:rsid w:val="005A5B0E"/>
    <w:rsid w:val="005A7F50"/>
    <w:rsid w:val="005B098B"/>
    <w:rsid w:val="005B11D5"/>
    <w:rsid w:val="005B180A"/>
    <w:rsid w:val="005B2B21"/>
    <w:rsid w:val="005B2F24"/>
    <w:rsid w:val="005B3097"/>
    <w:rsid w:val="005B309C"/>
    <w:rsid w:val="005B3463"/>
    <w:rsid w:val="005B3FD1"/>
    <w:rsid w:val="005B6E46"/>
    <w:rsid w:val="005B7ABC"/>
    <w:rsid w:val="005B7C1E"/>
    <w:rsid w:val="005B7C45"/>
    <w:rsid w:val="005C1362"/>
    <w:rsid w:val="005C1444"/>
    <w:rsid w:val="005C1B56"/>
    <w:rsid w:val="005C25EB"/>
    <w:rsid w:val="005C287C"/>
    <w:rsid w:val="005C2924"/>
    <w:rsid w:val="005C2AA6"/>
    <w:rsid w:val="005C3043"/>
    <w:rsid w:val="005C4337"/>
    <w:rsid w:val="005C47E1"/>
    <w:rsid w:val="005C6B21"/>
    <w:rsid w:val="005C6C8D"/>
    <w:rsid w:val="005C6FE5"/>
    <w:rsid w:val="005C73E3"/>
    <w:rsid w:val="005C7679"/>
    <w:rsid w:val="005D06FF"/>
    <w:rsid w:val="005D1A16"/>
    <w:rsid w:val="005D1BE8"/>
    <w:rsid w:val="005D2AE4"/>
    <w:rsid w:val="005D2DB9"/>
    <w:rsid w:val="005D33EF"/>
    <w:rsid w:val="005D4360"/>
    <w:rsid w:val="005D5552"/>
    <w:rsid w:val="005D5D8A"/>
    <w:rsid w:val="005D6AE0"/>
    <w:rsid w:val="005E129A"/>
    <w:rsid w:val="005E1734"/>
    <w:rsid w:val="005E19F0"/>
    <w:rsid w:val="005E2F63"/>
    <w:rsid w:val="005E4696"/>
    <w:rsid w:val="005E4E40"/>
    <w:rsid w:val="005E53FE"/>
    <w:rsid w:val="005E61D2"/>
    <w:rsid w:val="005E79AF"/>
    <w:rsid w:val="005E7C97"/>
    <w:rsid w:val="005E7D5F"/>
    <w:rsid w:val="005F04D1"/>
    <w:rsid w:val="005F09E5"/>
    <w:rsid w:val="005F0CE6"/>
    <w:rsid w:val="005F1F28"/>
    <w:rsid w:val="005F4B26"/>
    <w:rsid w:val="005F5798"/>
    <w:rsid w:val="005F58CA"/>
    <w:rsid w:val="005F5D68"/>
    <w:rsid w:val="005F5FDF"/>
    <w:rsid w:val="005F67A8"/>
    <w:rsid w:val="005F7E7A"/>
    <w:rsid w:val="006003BB"/>
    <w:rsid w:val="006010DD"/>
    <w:rsid w:val="00601145"/>
    <w:rsid w:val="00601910"/>
    <w:rsid w:val="00601917"/>
    <w:rsid w:val="00601EF8"/>
    <w:rsid w:val="00602449"/>
    <w:rsid w:val="00602E03"/>
    <w:rsid w:val="00603139"/>
    <w:rsid w:val="00603FC4"/>
    <w:rsid w:val="00604744"/>
    <w:rsid w:val="00605E13"/>
    <w:rsid w:val="00606376"/>
    <w:rsid w:val="0060637A"/>
    <w:rsid w:val="00606B0F"/>
    <w:rsid w:val="006079B9"/>
    <w:rsid w:val="0061032F"/>
    <w:rsid w:val="006103ED"/>
    <w:rsid w:val="00611089"/>
    <w:rsid w:val="00611252"/>
    <w:rsid w:val="0061170F"/>
    <w:rsid w:val="00611743"/>
    <w:rsid w:val="00612CFC"/>
    <w:rsid w:val="006135A9"/>
    <w:rsid w:val="006141A4"/>
    <w:rsid w:val="006171CA"/>
    <w:rsid w:val="00617D8E"/>
    <w:rsid w:val="00620B00"/>
    <w:rsid w:val="0062157B"/>
    <w:rsid w:val="00623B73"/>
    <w:rsid w:val="00623FD4"/>
    <w:rsid w:val="00624737"/>
    <w:rsid w:val="00625C1D"/>
    <w:rsid w:val="006265EE"/>
    <w:rsid w:val="00626BD9"/>
    <w:rsid w:val="006272CE"/>
    <w:rsid w:val="006272F1"/>
    <w:rsid w:val="006273FE"/>
    <w:rsid w:val="00630268"/>
    <w:rsid w:val="00630600"/>
    <w:rsid w:val="00630915"/>
    <w:rsid w:val="00630953"/>
    <w:rsid w:val="00630BD0"/>
    <w:rsid w:val="00630CC0"/>
    <w:rsid w:val="00631302"/>
    <w:rsid w:val="00631F15"/>
    <w:rsid w:val="00632416"/>
    <w:rsid w:val="006329DB"/>
    <w:rsid w:val="00633ADB"/>
    <w:rsid w:val="00633E68"/>
    <w:rsid w:val="0063479E"/>
    <w:rsid w:val="006351EA"/>
    <w:rsid w:val="00635891"/>
    <w:rsid w:val="006364F8"/>
    <w:rsid w:val="0063678C"/>
    <w:rsid w:val="0063699C"/>
    <w:rsid w:val="006401C0"/>
    <w:rsid w:val="006412AF"/>
    <w:rsid w:val="006412FC"/>
    <w:rsid w:val="00641555"/>
    <w:rsid w:val="006415D3"/>
    <w:rsid w:val="00642263"/>
    <w:rsid w:val="0064227E"/>
    <w:rsid w:val="006424BB"/>
    <w:rsid w:val="006438B6"/>
    <w:rsid w:val="006452F0"/>
    <w:rsid w:val="00647974"/>
    <w:rsid w:val="00647EB2"/>
    <w:rsid w:val="006509C0"/>
    <w:rsid w:val="00651075"/>
    <w:rsid w:val="00651092"/>
    <w:rsid w:val="006523C4"/>
    <w:rsid w:val="00654527"/>
    <w:rsid w:val="00654FC5"/>
    <w:rsid w:val="00655299"/>
    <w:rsid w:val="0065755A"/>
    <w:rsid w:val="00660008"/>
    <w:rsid w:val="006602CE"/>
    <w:rsid w:val="00661D12"/>
    <w:rsid w:val="006624DD"/>
    <w:rsid w:val="006629E4"/>
    <w:rsid w:val="00663459"/>
    <w:rsid w:val="006634A5"/>
    <w:rsid w:val="00665500"/>
    <w:rsid w:val="00665A0D"/>
    <w:rsid w:val="00665F8C"/>
    <w:rsid w:val="00667EE6"/>
    <w:rsid w:val="00670114"/>
    <w:rsid w:val="00670713"/>
    <w:rsid w:val="006708D5"/>
    <w:rsid w:val="00671D3F"/>
    <w:rsid w:val="0067272F"/>
    <w:rsid w:val="00672C7D"/>
    <w:rsid w:val="0067423A"/>
    <w:rsid w:val="00675147"/>
    <w:rsid w:val="0067580F"/>
    <w:rsid w:val="0067643C"/>
    <w:rsid w:val="00680B72"/>
    <w:rsid w:val="0068245B"/>
    <w:rsid w:val="00682860"/>
    <w:rsid w:val="00682A3E"/>
    <w:rsid w:val="00682DF4"/>
    <w:rsid w:val="00683808"/>
    <w:rsid w:val="00686862"/>
    <w:rsid w:val="00686E3C"/>
    <w:rsid w:val="00690410"/>
    <w:rsid w:val="006907B7"/>
    <w:rsid w:val="00690A10"/>
    <w:rsid w:val="006911CB"/>
    <w:rsid w:val="00691E1A"/>
    <w:rsid w:val="00692495"/>
    <w:rsid w:val="006929D5"/>
    <w:rsid w:val="006934F4"/>
    <w:rsid w:val="006935A3"/>
    <w:rsid w:val="00693A08"/>
    <w:rsid w:val="00694A92"/>
    <w:rsid w:val="00696886"/>
    <w:rsid w:val="00696A63"/>
    <w:rsid w:val="00697806"/>
    <w:rsid w:val="006978D3"/>
    <w:rsid w:val="006A0EEA"/>
    <w:rsid w:val="006A2B10"/>
    <w:rsid w:val="006A2D6A"/>
    <w:rsid w:val="006A42CE"/>
    <w:rsid w:val="006A5070"/>
    <w:rsid w:val="006A5978"/>
    <w:rsid w:val="006A6A2A"/>
    <w:rsid w:val="006A6C8C"/>
    <w:rsid w:val="006A7AA1"/>
    <w:rsid w:val="006B0597"/>
    <w:rsid w:val="006B0A32"/>
    <w:rsid w:val="006B0D25"/>
    <w:rsid w:val="006B1FA5"/>
    <w:rsid w:val="006B2134"/>
    <w:rsid w:val="006B255C"/>
    <w:rsid w:val="006B2963"/>
    <w:rsid w:val="006B2E9E"/>
    <w:rsid w:val="006B4AF8"/>
    <w:rsid w:val="006B54B9"/>
    <w:rsid w:val="006B5787"/>
    <w:rsid w:val="006B62B8"/>
    <w:rsid w:val="006B62F0"/>
    <w:rsid w:val="006B7C1D"/>
    <w:rsid w:val="006B7E60"/>
    <w:rsid w:val="006C03F5"/>
    <w:rsid w:val="006C0EA9"/>
    <w:rsid w:val="006C137A"/>
    <w:rsid w:val="006C14BF"/>
    <w:rsid w:val="006C3603"/>
    <w:rsid w:val="006C3726"/>
    <w:rsid w:val="006C3D5A"/>
    <w:rsid w:val="006C438F"/>
    <w:rsid w:val="006C43AC"/>
    <w:rsid w:val="006C64D2"/>
    <w:rsid w:val="006C68C3"/>
    <w:rsid w:val="006C728B"/>
    <w:rsid w:val="006C7302"/>
    <w:rsid w:val="006C774A"/>
    <w:rsid w:val="006C7DBD"/>
    <w:rsid w:val="006D0036"/>
    <w:rsid w:val="006D29BA"/>
    <w:rsid w:val="006D58A6"/>
    <w:rsid w:val="006D59F0"/>
    <w:rsid w:val="006D684C"/>
    <w:rsid w:val="006D6B66"/>
    <w:rsid w:val="006D6EAD"/>
    <w:rsid w:val="006D7135"/>
    <w:rsid w:val="006D7879"/>
    <w:rsid w:val="006E073E"/>
    <w:rsid w:val="006E0FC1"/>
    <w:rsid w:val="006E196D"/>
    <w:rsid w:val="006E2E3F"/>
    <w:rsid w:val="006E2F39"/>
    <w:rsid w:val="006E3C41"/>
    <w:rsid w:val="006E421E"/>
    <w:rsid w:val="006E6341"/>
    <w:rsid w:val="006E7F4E"/>
    <w:rsid w:val="006F0C4D"/>
    <w:rsid w:val="006F1CF4"/>
    <w:rsid w:val="006F2434"/>
    <w:rsid w:val="006F2D2C"/>
    <w:rsid w:val="006F3415"/>
    <w:rsid w:val="006F3D21"/>
    <w:rsid w:val="006F55DD"/>
    <w:rsid w:val="006F5BE0"/>
    <w:rsid w:val="006F6679"/>
    <w:rsid w:val="006F7860"/>
    <w:rsid w:val="006F7EA6"/>
    <w:rsid w:val="00700911"/>
    <w:rsid w:val="00702873"/>
    <w:rsid w:val="00702E4C"/>
    <w:rsid w:val="00703860"/>
    <w:rsid w:val="00704050"/>
    <w:rsid w:val="0070492C"/>
    <w:rsid w:val="00705627"/>
    <w:rsid w:val="00705D39"/>
    <w:rsid w:val="00706CDD"/>
    <w:rsid w:val="0070792A"/>
    <w:rsid w:val="00710422"/>
    <w:rsid w:val="007105CD"/>
    <w:rsid w:val="00711889"/>
    <w:rsid w:val="007124D6"/>
    <w:rsid w:val="007127AA"/>
    <w:rsid w:val="00714AFB"/>
    <w:rsid w:val="0071521D"/>
    <w:rsid w:val="00715B51"/>
    <w:rsid w:val="00715F79"/>
    <w:rsid w:val="00716079"/>
    <w:rsid w:val="0071665E"/>
    <w:rsid w:val="007177AA"/>
    <w:rsid w:val="00717C87"/>
    <w:rsid w:val="00717E94"/>
    <w:rsid w:val="00721276"/>
    <w:rsid w:val="007219BD"/>
    <w:rsid w:val="00722578"/>
    <w:rsid w:val="00723301"/>
    <w:rsid w:val="007239B5"/>
    <w:rsid w:val="00723AA6"/>
    <w:rsid w:val="00723AE4"/>
    <w:rsid w:val="007241E6"/>
    <w:rsid w:val="0072452B"/>
    <w:rsid w:val="00725187"/>
    <w:rsid w:val="00725B68"/>
    <w:rsid w:val="00725BA9"/>
    <w:rsid w:val="0072624C"/>
    <w:rsid w:val="0072644A"/>
    <w:rsid w:val="00727E8C"/>
    <w:rsid w:val="00730F34"/>
    <w:rsid w:val="007313A8"/>
    <w:rsid w:val="00732156"/>
    <w:rsid w:val="0073334D"/>
    <w:rsid w:val="007341FB"/>
    <w:rsid w:val="00735246"/>
    <w:rsid w:val="00736634"/>
    <w:rsid w:val="00736857"/>
    <w:rsid w:val="00736C88"/>
    <w:rsid w:val="00737145"/>
    <w:rsid w:val="00737D53"/>
    <w:rsid w:val="00737DEE"/>
    <w:rsid w:val="007415FC"/>
    <w:rsid w:val="00741AE5"/>
    <w:rsid w:val="00741C9A"/>
    <w:rsid w:val="00742482"/>
    <w:rsid w:val="00742A7B"/>
    <w:rsid w:val="00745005"/>
    <w:rsid w:val="00745309"/>
    <w:rsid w:val="00745E04"/>
    <w:rsid w:val="00746B60"/>
    <w:rsid w:val="007474B6"/>
    <w:rsid w:val="00747FC9"/>
    <w:rsid w:val="00750309"/>
    <w:rsid w:val="00750614"/>
    <w:rsid w:val="00750883"/>
    <w:rsid w:val="0075182B"/>
    <w:rsid w:val="007518DA"/>
    <w:rsid w:val="00751C1A"/>
    <w:rsid w:val="00752173"/>
    <w:rsid w:val="0075238E"/>
    <w:rsid w:val="007525C5"/>
    <w:rsid w:val="00752F28"/>
    <w:rsid w:val="00752FEF"/>
    <w:rsid w:val="00753962"/>
    <w:rsid w:val="00753A3D"/>
    <w:rsid w:val="0075427E"/>
    <w:rsid w:val="007542FB"/>
    <w:rsid w:val="007564FF"/>
    <w:rsid w:val="00756BDA"/>
    <w:rsid w:val="00757025"/>
    <w:rsid w:val="007570A4"/>
    <w:rsid w:val="00757E8E"/>
    <w:rsid w:val="00760A50"/>
    <w:rsid w:val="007618D8"/>
    <w:rsid w:val="007626F2"/>
    <w:rsid w:val="00762815"/>
    <w:rsid w:val="00762EE7"/>
    <w:rsid w:val="0076376E"/>
    <w:rsid w:val="0076549A"/>
    <w:rsid w:val="00765601"/>
    <w:rsid w:val="007665EC"/>
    <w:rsid w:val="00766982"/>
    <w:rsid w:val="00766DA5"/>
    <w:rsid w:val="007676FE"/>
    <w:rsid w:val="0076778D"/>
    <w:rsid w:val="00767AF1"/>
    <w:rsid w:val="00767DA2"/>
    <w:rsid w:val="0077009A"/>
    <w:rsid w:val="007706DB"/>
    <w:rsid w:val="00772130"/>
    <w:rsid w:val="007728CE"/>
    <w:rsid w:val="007728F5"/>
    <w:rsid w:val="00772AE2"/>
    <w:rsid w:val="00772B8A"/>
    <w:rsid w:val="00772F97"/>
    <w:rsid w:val="007731A7"/>
    <w:rsid w:val="00773404"/>
    <w:rsid w:val="00774A03"/>
    <w:rsid w:val="00775178"/>
    <w:rsid w:val="00775981"/>
    <w:rsid w:val="00777051"/>
    <w:rsid w:val="00781790"/>
    <w:rsid w:val="007828CB"/>
    <w:rsid w:val="00782AEF"/>
    <w:rsid w:val="00782C13"/>
    <w:rsid w:val="00784603"/>
    <w:rsid w:val="00784AE1"/>
    <w:rsid w:val="00784EDF"/>
    <w:rsid w:val="00785E81"/>
    <w:rsid w:val="007866E7"/>
    <w:rsid w:val="00786B8E"/>
    <w:rsid w:val="007874AF"/>
    <w:rsid w:val="0078788F"/>
    <w:rsid w:val="00787AFA"/>
    <w:rsid w:val="0079033D"/>
    <w:rsid w:val="00790419"/>
    <w:rsid w:val="007905D2"/>
    <w:rsid w:val="007922DE"/>
    <w:rsid w:val="00793614"/>
    <w:rsid w:val="00793BE3"/>
    <w:rsid w:val="00793E54"/>
    <w:rsid w:val="00793E61"/>
    <w:rsid w:val="007941FB"/>
    <w:rsid w:val="007946FE"/>
    <w:rsid w:val="0079481B"/>
    <w:rsid w:val="0079504B"/>
    <w:rsid w:val="00795CAE"/>
    <w:rsid w:val="00795D61"/>
    <w:rsid w:val="00795F51"/>
    <w:rsid w:val="0079688B"/>
    <w:rsid w:val="00797503"/>
    <w:rsid w:val="00797954"/>
    <w:rsid w:val="007A2BF8"/>
    <w:rsid w:val="007A3C7D"/>
    <w:rsid w:val="007A44AD"/>
    <w:rsid w:val="007A47B1"/>
    <w:rsid w:val="007A4817"/>
    <w:rsid w:val="007A4995"/>
    <w:rsid w:val="007A5849"/>
    <w:rsid w:val="007A609A"/>
    <w:rsid w:val="007A6750"/>
    <w:rsid w:val="007A6ACE"/>
    <w:rsid w:val="007A6D6A"/>
    <w:rsid w:val="007A6DB4"/>
    <w:rsid w:val="007A71EE"/>
    <w:rsid w:val="007B00DE"/>
    <w:rsid w:val="007B0D45"/>
    <w:rsid w:val="007B1846"/>
    <w:rsid w:val="007B18CB"/>
    <w:rsid w:val="007B1C89"/>
    <w:rsid w:val="007B2ED5"/>
    <w:rsid w:val="007B3052"/>
    <w:rsid w:val="007B45C7"/>
    <w:rsid w:val="007B5748"/>
    <w:rsid w:val="007B5981"/>
    <w:rsid w:val="007B6873"/>
    <w:rsid w:val="007B75D8"/>
    <w:rsid w:val="007C05B7"/>
    <w:rsid w:val="007C0724"/>
    <w:rsid w:val="007C266C"/>
    <w:rsid w:val="007C2B56"/>
    <w:rsid w:val="007C3C0A"/>
    <w:rsid w:val="007C3C64"/>
    <w:rsid w:val="007C51F3"/>
    <w:rsid w:val="007C698B"/>
    <w:rsid w:val="007C69BB"/>
    <w:rsid w:val="007C720A"/>
    <w:rsid w:val="007C7290"/>
    <w:rsid w:val="007C7D87"/>
    <w:rsid w:val="007D083F"/>
    <w:rsid w:val="007D0EB2"/>
    <w:rsid w:val="007D0EE5"/>
    <w:rsid w:val="007D10F8"/>
    <w:rsid w:val="007D221E"/>
    <w:rsid w:val="007D237E"/>
    <w:rsid w:val="007D2DDE"/>
    <w:rsid w:val="007D34DC"/>
    <w:rsid w:val="007D3F7F"/>
    <w:rsid w:val="007D4BE7"/>
    <w:rsid w:val="007D4CD2"/>
    <w:rsid w:val="007D507E"/>
    <w:rsid w:val="007D51AE"/>
    <w:rsid w:val="007D5E2F"/>
    <w:rsid w:val="007D6612"/>
    <w:rsid w:val="007D7BE4"/>
    <w:rsid w:val="007E0640"/>
    <w:rsid w:val="007E079A"/>
    <w:rsid w:val="007E1190"/>
    <w:rsid w:val="007E1E34"/>
    <w:rsid w:val="007E1F39"/>
    <w:rsid w:val="007E28BE"/>
    <w:rsid w:val="007E2E83"/>
    <w:rsid w:val="007E4700"/>
    <w:rsid w:val="007E4A61"/>
    <w:rsid w:val="007E4D1D"/>
    <w:rsid w:val="007E532C"/>
    <w:rsid w:val="007E631E"/>
    <w:rsid w:val="007E63D0"/>
    <w:rsid w:val="007E6558"/>
    <w:rsid w:val="007E757D"/>
    <w:rsid w:val="007E7C70"/>
    <w:rsid w:val="007F1065"/>
    <w:rsid w:val="007F1129"/>
    <w:rsid w:val="007F1C15"/>
    <w:rsid w:val="007F2530"/>
    <w:rsid w:val="007F26A9"/>
    <w:rsid w:val="007F329A"/>
    <w:rsid w:val="007F33D0"/>
    <w:rsid w:val="007F3E92"/>
    <w:rsid w:val="007F411A"/>
    <w:rsid w:val="007F4148"/>
    <w:rsid w:val="007F4B3F"/>
    <w:rsid w:val="007F4CAD"/>
    <w:rsid w:val="007F4CF4"/>
    <w:rsid w:val="007F5B63"/>
    <w:rsid w:val="007F65A1"/>
    <w:rsid w:val="007F67F5"/>
    <w:rsid w:val="007F75FF"/>
    <w:rsid w:val="007F7EFE"/>
    <w:rsid w:val="007F7F08"/>
    <w:rsid w:val="00800347"/>
    <w:rsid w:val="00801073"/>
    <w:rsid w:val="008010AF"/>
    <w:rsid w:val="0080121D"/>
    <w:rsid w:val="00801B2E"/>
    <w:rsid w:val="0080213F"/>
    <w:rsid w:val="008022DA"/>
    <w:rsid w:val="0080253C"/>
    <w:rsid w:val="00802B0F"/>
    <w:rsid w:val="008034D4"/>
    <w:rsid w:val="0080393F"/>
    <w:rsid w:val="00804165"/>
    <w:rsid w:val="00804DF8"/>
    <w:rsid w:val="00805A4D"/>
    <w:rsid w:val="00805BBF"/>
    <w:rsid w:val="00805C26"/>
    <w:rsid w:val="00806899"/>
    <w:rsid w:val="00806D0B"/>
    <w:rsid w:val="008075A9"/>
    <w:rsid w:val="00810F8D"/>
    <w:rsid w:val="00810F94"/>
    <w:rsid w:val="00811105"/>
    <w:rsid w:val="00811526"/>
    <w:rsid w:val="00812D17"/>
    <w:rsid w:val="00813DED"/>
    <w:rsid w:val="008140AD"/>
    <w:rsid w:val="00814404"/>
    <w:rsid w:val="00814AD0"/>
    <w:rsid w:val="00816237"/>
    <w:rsid w:val="00817446"/>
    <w:rsid w:val="008176DB"/>
    <w:rsid w:val="00817968"/>
    <w:rsid w:val="00817AFF"/>
    <w:rsid w:val="00817DB9"/>
    <w:rsid w:val="0082014F"/>
    <w:rsid w:val="00820FE5"/>
    <w:rsid w:val="008211E0"/>
    <w:rsid w:val="008235D8"/>
    <w:rsid w:val="00823CE7"/>
    <w:rsid w:val="00823DF5"/>
    <w:rsid w:val="008242C6"/>
    <w:rsid w:val="00824D63"/>
    <w:rsid w:val="00824DC6"/>
    <w:rsid w:val="00827466"/>
    <w:rsid w:val="00827CBB"/>
    <w:rsid w:val="00831920"/>
    <w:rsid w:val="008325F6"/>
    <w:rsid w:val="0083649F"/>
    <w:rsid w:val="00836814"/>
    <w:rsid w:val="0083698A"/>
    <w:rsid w:val="00840695"/>
    <w:rsid w:val="00840B13"/>
    <w:rsid w:val="00843737"/>
    <w:rsid w:val="00843977"/>
    <w:rsid w:val="00845EC8"/>
    <w:rsid w:val="0084626E"/>
    <w:rsid w:val="00846414"/>
    <w:rsid w:val="008474B7"/>
    <w:rsid w:val="00850BE3"/>
    <w:rsid w:val="0085149B"/>
    <w:rsid w:val="00851554"/>
    <w:rsid w:val="00852C46"/>
    <w:rsid w:val="008530C7"/>
    <w:rsid w:val="00854CFD"/>
    <w:rsid w:val="0085508D"/>
    <w:rsid w:val="00855231"/>
    <w:rsid w:val="008553A4"/>
    <w:rsid w:val="008577E6"/>
    <w:rsid w:val="00860598"/>
    <w:rsid w:val="00860C18"/>
    <w:rsid w:val="00861631"/>
    <w:rsid w:val="00861B27"/>
    <w:rsid w:val="00861CF0"/>
    <w:rsid w:val="008635BC"/>
    <w:rsid w:val="0086404F"/>
    <w:rsid w:val="00864206"/>
    <w:rsid w:val="0086436B"/>
    <w:rsid w:val="008643DF"/>
    <w:rsid w:val="00864458"/>
    <w:rsid w:val="00865618"/>
    <w:rsid w:val="00865BB3"/>
    <w:rsid w:val="0086624C"/>
    <w:rsid w:val="00866991"/>
    <w:rsid w:val="00866FB6"/>
    <w:rsid w:val="00870E8B"/>
    <w:rsid w:val="008714E2"/>
    <w:rsid w:val="008740F4"/>
    <w:rsid w:val="00874283"/>
    <w:rsid w:val="008748D2"/>
    <w:rsid w:val="0087498E"/>
    <w:rsid w:val="00874C11"/>
    <w:rsid w:val="00876745"/>
    <w:rsid w:val="00876A27"/>
    <w:rsid w:val="00877140"/>
    <w:rsid w:val="00877A07"/>
    <w:rsid w:val="008808C9"/>
    <w:rsid w:val="00882A2B"/>
    <w:rsid w:val="00883218"/>
    <w:rsid w:val="0088355A"/>
    <w:rsid w:val="008837E8"/>
    <w:rsid w:val="00883B95"/>
    <w:rsid w:val="008848AC"/>
    <w:rsid w:val="00884C71"/>
    <w:rsid w:val="00885159"/>
    <w:rsid w:val="00886744"/>
    <w:rsid w:val="00886B63"/>
    <w:rsid w:val="00890A34"/>
    <w:rsid w:val="00890BC4"/>
    <w:rsid w:val="00890E70"/>
    <w:rsid w:val="00891C81"/>
    <w:rsid w:val="008920BA"/>
    <w:rsid w:val="0089229B"/>
    <w:rsid w:val="008927D8"/>
    <w:rsid w:val="00893CEE"/>
    <w:rsid w:val="00894A46"/>
    <w:rsid w:val="008974AC"/>
    <w:rsid w:val="00897C01"/>
    <w:rsid w:val="008A0E24"/>
    <w:rsid w:val="008A0F70"/>
    <w:rsid w:val="008A19E8"/>
    <w:rsid w:val="008A1B54"/>
    <w:rsid w:val="008A2F3C"/>
    <w:rsid w:val="008A3D8E"/>
    <w:rsid w:val="008A4B76"/>
    <w:rsid w:val="008A56B2"/>
    <w:rsid w:val="008A5A94"/>
    <w:rsid w:val="008A619A"/>
    <w:rsid w:val="008A6239"/>
    <w:rsid w:val="008A6B0F"/>
    <w:rsid w:val="008B0488"/>
    <w:rsid w:val="008B2C52"/>
    <w:rsid w:val="008B33C1"/>
    <w:rsid w:val="008B354B"/>
    <w:rsid w:val="008B3677"/>
    <w:rsid w:val="008B3DD4"/>
    <w:rsid w:val="008B4E81"/>
    <w:rsid w:val="008B5EC0"/>
    <w:rsid w:val="008B65F6"/>
    <w:rsid w:val="008B6B44"/>
    <w:rsid w:val="008C098F"/>
    <w:rsid w:val="008C0CA0"/>
    <w:rsid w:val="008C1A97"/>
    <w:rsid w:val="008C1C30"/>
    <w:rsid w:val="008C20BB"/>
    <w:rsid w:val="008C23EC"/>
    <w:rsid w:val="008C36B6"/>
    <w:rsid w:val="008C3932"/>
    <w:rsid w:val="008C4335"/>
    <w:rsid w:val="008C443A"/>
    <w:rsid w:val="008C6278"/>
    <w:rsid w:val="008D0CE0"/>
    <w:rsid w:val="008D176F"/>
    <w:rsid w:val="008D30C6"/>
    <w:rsid w:val="008D51E0"/>
    <w:rsid w:val="008D57EE"/>
    <w:rsid w:val="008D596B"/>
    <w:rsid w:val="008D6271"/>
    <w:rsid w:val="008D7183"/>
    <w:rsid w:val="008E023C"/>
    <w:rsid w:val="008E05F8"/>
    <w:rsid w:val="008E2BDA"/>
    <w:rsid w:val="008E3314"/>
    <w:rsid w:val="008E3521"/>
    <w:rsid w:val="008E3EAE"/>
    <w:rsid w:val="008E569D"/>
    <w:rsid w:val="008E5802"/>
    <w:rsid w:val="008E6325"/>
    <w:rsid w:val="008F2E68"/>
    <w:rsid w:val="008F311A"/>
    <w:rsid w:val="008F46BB"/>
    <w:rsid w:val="008F60CC"/>
    <w:rsid w:val="009007EB"/>
    <w:rsid w:val="00900C2F"/>
    <w:rsid w:val="00901104"/>
    <w:rsid w:val="00902467"/>
    <w:rsid w:val="0090283B"/>
    <w:rsid w:val="00902A7C"/>
    <w:rsid w:val="00902BBE"/>
    <w:rsid w:val="00902D16"/>
    <w:rsid w:val="009037FB"/>
    <w:rsid w:val="00903C50"/>
    <w:rsid w:val="00903F32"/>
    <w:rsid w:val="00904094"/>
    <w:rsid w:val="00904D51"/>
    <w:rsid w:val="009065A3"/>
    <w:rsid w:val="0090683B"/>
    <w:rsid w:val="00907567"/>
    <w:rsid w:val="009077EA"/>
    <w:rsid w:val="00910E55"/>
    <w:rsid w:val="00910EDA"/>
    <w:rsid w:val="0091162C"/>
    <w:rsid w:val="00911E67"/>
    <w:rsid w:val="009121AB"/>
    <w:rsid w:val="00913253"/>
    <w:rsid w:val="009134A3"/>
    <w:rsid w:val="009135F5"/>
    <w:rsid w:val="00913DE9"/>
    <w:rsid w:val="00915ACB"/>
    <w:rsid w:val="00916281"/>
    <w:rsid w:val="00916366"/>
    <w:rsid w:val="00916624"/>
    <w:rsid w:val="009170B5"/>
    <w:rsid w:val="00917420"/>
    <w:rsid w:val="00917FEF"/>
    <w:rsid w:val="009205F6"/>
    <w:rsid w:val="00921C6E"/>
    <w:rsid w:val="00922564"/>
    <w:rsid w:val="00922C65"/>
    <w:rsid w:val="00924F11"/>
    <w:rsid w:val="00925F43"/>
    <w:rsid w:val="00926480"/>
    <w:rsid w:val="009270EA"/>
    <w:rsid w:val="00927371"/>
    <w:rsid w:val="009275B1"/>
    <w:rsid w:val="00930262"/>
    <w:rsid w:val="009313F9"/>
    <w:rsid w:val="00931AC2"/>
    <w:rsid w:val="00931E30"/>
    <w:rsid w:val="00935012"/>
    <w:rsid w:val="009352A9"/>
    <w:rsid w:val="009361D8"/>
    <w:rsid w:val="009365B5"/>
    <w:rsid w:val="00936DB8"/>
    <w:rsid w:val="00937414"/>
    <w:rsid w:val="00937D25"/>
    <w:rsid w:val="009424AE"/>
    <w:rsid w:val="00943BCD"/>
    <w:rsid w:val="00944AC4"/>
    <w:rsid w:val="00945D83"/>
    <w:rsid w:val="00946312"/>
    <w:rsid w:val="0094657F"/>
    <w:rsid w:val="00946BC7"/>
    <w:rsid w:val="0094782B"/>
    <w:rsid w:val="00947DE8"/>
    <w:rsid w:val="00947FDB"/>
    <w:rsid w:val="00950572"/>
    <w:rsid w:val="00952509"/>
    <w:rsid w:val="009526BF"/>
    <w:rsid w:val="00952CB3"/>
    <w:rsid w:val="00953BBE"/>
    <w:rsid w:val="00953C1C"/>
    <w:rsid w:val="00953E39"/>
    <w:rsid w:val="00954164"/>
    <w:rsid w:val="009552D5"/>
    <w:rsid w:val="00956152"/>
    <w:rsid w:val="009561E1"/>
    <w:rsid w:val="0095653D"/>
    <w:rsid w:val="009605B3"/>
    <w:rsid w:val="009605DA"/>
    <w:rsid w:val="00960AD3"/>
    <w:rsid w:val="00961501"/>
    <w:rsid w:val="0096172A"/>
    <w:rsid w:val="009617E3"/>
    <w:rsid w:val="00962269"/>
    <w:rsid w:val="00962D72"/>
    <w:rsid w:val="0096355A"/>
    <w:rsid w:val="00963687"/>
    <w:rsid w:val="009642DC"/>
    <w:rsid w:val="0096447D"/>
    <w:rsid w:val="009649EF"/>
    <w:rsid w:val="00965C03"/>
    <w:rsid w:val="009668F1"/>
    <w:rsid w:val="00967987"/>
    <w:rsid w:val="00967EEA"/>
    <w:rsid w:val="00970072"/>
    <w:rsid w:val="00970107"/>
    <w:rsid w:val="00970566"/>
    <w:rsid w:val="00970B34"/>
    <w:rsid w:val="0097231B"/>
    <w:rsid w:val="00972F29"/>
    <w:rsid w:val="00975308"/>
    <w:rsid w:val="00976429"/>
    <w:rsid w:val="00976564"/>
    <w:rsid w:val="0097688B"/>
    <w:rsid w:val="009771A3"/>
    <w:rsid w:val="00977213"/>
    <w:rsid w:val="00977695"/>
    <w:rsid w:val="00980CBA"/>
    <w:rsid w:val="00980ED9"/>
    <w:rsid w:val="009813F5"/>
    <w:rsid w:val="009821B0"/>
    <w:rsid w:val="0098242A"/>
    <w:rsid w:val="009828DE"/>
    <w:rsid w:val="00982AB6"/>
    <w:rsid w:val="00982CF1"/>
    <w:rsid w:val="00982D26"/>
    <w:rsid w:val="00983278"/>
    <w:rsid w:val="0098353A"/>
    <w:rsid w:val="00984501"/>
    <w:rsid w:val="00985116"/>
    <w:rsid w:val="0098570E"/>
    <w:rsid w:val="00986E22"/>
    <w:rsid w:val="00987A6C"/>
    <w:rsid w:val="00987AAD"/>
    <w:rsid w:val="00987ADD"/>
    <w:rsid w:val="0099053B"/>
    <w:rsid w:val="00991DDE"/>
    <w:rsid w:val="0099306B"/>
    <w:rsid w:val="009939FF"/>
    <w:rsid w:val="009954FD"/>
    <w:rsid w:val="00996E62"/>
    <w:rsid w:val="0099766A"/>
    <w:rsid w:val="009A09D9"/>
    <w:rsid w:val="009A2C5E"/>
    <w:rsid w:val="009A36B7"/>
    <w:rsid w:val="009A4B40"/>
    <w:rsid w:val="009A5083"/>
    <w:rsid w:val="009A5620"/>
    <w:rsid w:val="009A5C32"/>
    <w:rsid w:val="009A6AEA"/>
    <w:rsid w:val="009B0485"/>
    <w:rsid w:val="009B19D6"/>
    <w:rsid w:val="009B43EE"/>
    <w:rsid w:val="009B4822"/>
    <w:rsid w:val="009B50A3"/>
    <w:rsid w:val="009B581C"/>
    <w:rsid w:val="009B6E02"/>
    <w:rsid w:val="009B7D94"/>
    <w:rsid w:val="009C0B06"/>
    <w:rsid w:val="009C2E83"/>
    <w:rsid w:val="009C4126"/>
    <w:rsid w:val="009C4D36"/>
    <w:rsid w:val="009C5A66"/>
    <w:rsid w:val="009C61A9"/>
    <w:rsid w:val="009C62D6"/>
    <w:rsid w:val="009C670E"/>
    <w:rsid w:val="009C70A5"/>
    <w:rsid w:val="009C7B1C"/>
    <w:rsid w:val="009D15B7"/>
    <w:rsid w:val="009D2695"/>
    <w:rsid w:val="009D2D64"/>
    <w:rsid w:val="009D36A4"/>
    <w:rsid w:val="009D3C16"/>
    <w:rsid w:val="009D4ED8"/>
    <w:rsid w:val="009D5D40"/>
    <w:rsid w:val="009D5E52"/>
    <w:rsid w:val="009D679D"/>
    <w:rsid w:val="009D7D14"/>
    <w:rsid w:val="009E0982"/>
    <w:rsid w:val="009E1474"/>
    <w:rsid w:val="009E27DC"/>
    <w:rsid w:val="009E3086"/>
    <w:rsid w:val="009E3E73"/>
    <w:rsid w:val="009E40FE"/>
    <w:rsid w:val="009E445F"/>
    <w:rsid w:val="009E50C7"/>
    <w:rsid w:val="009E597D"/>
    <w:rsid w:val="009E5DB4"/>
    <w:rsid w:val="009E68B5"/>
    <w:rsid w:val="009E6CE0"/>
    <w:rsid w:val="009E7C85"/>
    <w:rsid w:val="009F1437"/>
    <w:rsid w:val="009F18F8"/>
    <w:rsid w:val="009F3CB2"/>
    <w:rsid w:val="009F3F9A"/>
    <w:rsid w:val="009F4045"/>
    <w:rsid w:val="009F47A8"/>
    <w:rsid w:val="009F5377"/>
    <w:rsid w:val="009F5A60"/>
    <w:rsid w:val="009F6269"/>
    <w:rsid w:val="009F74A0"/>
    <w:rsid w:val="009F75A3"/>
    <w:rsid w:val="009F7766"/>
    <w:rsid w:val="009F7E5C"/>
    <w:rsid w:val="00A00DE0"/>
    <w:rsid w:val="00A0137A"/>
    <w:rsid w:val="00A0319D"/>
    <w:rsid w:val="00A0465B"/>
    <w:rsid w:val="00A04A3F"/>
    <w:rsid w:val="00A05E50"/>
    <w:rsid w:val="00A05F22"/>
    <w:rsid w:val="00A06780"/>
    <w:rsid w:val="00A06989"/>
    <w:rsid w:val="00A06AB5"/>
    <w:rsid w:val="00A07007"/>
    <w:rsid w:val="00A108F0"/>
    <w:rsid w:val="00A11C2E"/>
    <w:rsid w:val="00A12023"/>
    <w:rsid w:val="00A1225D"/>
    <w:rsid w:val="00A12D48"/>
    <w:rsid w:val="00A13380"/>
    <w:rsid w:val="00A144A3"/>
    <w:rsid w:val="00A162A4"/>
    <w:rsid w:val="00A168ED"/>
    <w:rsid w:val="00A169C6"/>
    <w:rsid w:val="00A17072"/>
    <w:rsid w:val="00A1797E"/>
    <w:rsid w:val="00A17B57"/>
    <w:rsid w:val="00A2111A"/>
    <w:rsid w:val="00A219D7"/>
    <w:rsid w:val="00A21A71"/>
    <w:rsid w:val="00A2291A"/>
    <w:rsid w:val="00A249EF"/>
    <w:rsid w:val="00A24FCE"/>
    <w:rsid w:val="00A25E7C"/>
    <w:rsid w:val="00A265CA"/>
    <w:rsid w:val="00A30388"/>
    <w:rsid w:val="00A315B9"/>
    <w:rsid w:val="00A31841"/>
    <w:rsid w:val="00A31B68"/>
    <w:rsid w:val="00A3257A"/>
    <w:rsid w:val="00A329EE"/>
    <w:rsid w:val="00A32B29"/>
    <w:rsid w:val="00A33C7A"/>
    <w:rsid w:val="00A33E48"/>
    <w:rsid w:val="00A34AB1"/>
    <w:rsid w:val="00A3512C"/>
    <w:rsid w:val="00A35D6D"/>
    <w:rsid w:val="00A36561"/>
    <w:rsid w:val="00A367FC"/>
    <w:rsid w:val="00A36892"/>
    <w:rsid w:val="00A37F75"/>
    <w:rsid w:val="00A400EF"/>
    <w:rsid w:val="00A402E0"/>
    <w:rsid w:val="00A429C4"/>
    <w:rsid w:val="00A441CE"/>
    <w:rsid w:val="00A46504"/>
    <w:rsid w:val="00A473F9"/>
    <w:rsid w:val="00A479F4"/>
    <w:rsid w:val="00A50D3D"/>
    <w:rsid w:val="00A51969"/>
    <w:rsid w:val="00A52647"/>
    <w:rsid w:val="00A5266E"/>
    <w:rsid w:val="00A537E3"/>
    <w:rsid w:val="00A53BF2"/>
    <w:rsid w:val="00A53D3F"/>
    <w:rsid w:val="00A549D0"/>
    <w:rsid w:val="00A55912"/>
    <w:rsid w:val="00A56862"/>
    <w:rsid w:val="00A57DA5"/>
    <w:rsid w:val="00A57F87"/>
    <w:rsid w:val="00A6009E"/>
    <w:rsid w:val="00A602C3"/>
    <w:rsid w:val="00A61E4C"/>
    <w:rsid w:val="00A62033"/>
    <w:rsid w:val="00A626CF"/>
    <w:rsid w:val="00A62E69"/>
    <w:rsid w:val="00A633E9"/>
    <w:rsid w:val="00A638DA"/>
    <w:rsid w:val="00A63CF4"/>
    <w:rsid w:val="00A64B9E"/>
    <w:rsid w:val="00A6520B"/>
    <w:rsid w:val="00A66385"/>
    <w:rsid w:val="00A663D6"/>
    <w:rsid w:val="00A66492"/>
    <w:rsid w:val="00A667DD"/>
    <w:rsid w:val="00A66CD1"/>
    <w:rsid w:val="00A66D22"/>
    <w:rsid w:val="00A67918"/>
    <w:rsid w:val="00A67B4F"/>
    <w:rsid w:val="00A67ECB"/>
    <w:rsid w:val="00A67F24"/>
    <w:rsid w:val="00A70BE2"/>
    <w:rsid w:val="00A70EA1"/>
    <w:rsid w:val="00A71507"/>
    <w:rsid w:val="00A71CCC"/>
    <w:rsid w:val="00A7250D"/>
    <w:rsid w:val="00A7253F"/>
    <w:rsid w:val="00A73290"/>
    <w:rsid w:val="00A73375"/>
    <w:rsid w:val="00A73713"/>
    <w:rsid w:val="00A744DB"/>
    <w:rsid w:val="00A7536D"/>
    <w:rsid w:val="00A75591"/>
    <w:rsid w:val="00A75A45"/>
    <w:rsid w:val="00A825EF"/>
    <w:rsid w:val="00A82A4A"/>
    <w:rsid w:val="00A82C54"/>
    <w:rsid w:val="00A8567D"/>
    <w:rsid w:val="00A857B3"/>
    <w:rsid w:val="00A85B30"/>
    <w:rsid w:val="00A85EB6"/>
    <w:rsid w:val="00A86589"/>
    <w:rsid w:val="00A8753C"/>
    <w:rsid w:val="00A87577"/>
    <w:rsid w:val="00A87FA8"/>
    <w:rsid w:val="00A87FF8"/>
    <w:rsid w:val="00A917D6"/>
    <w:rsid w:val="00A9303E"/>
    <w:rsid w:val="00A93237"/>
    <w:rsid w:val="00A93FE8"/>
    <w:rsid w:val="00A941FB"/>
    <w:rsid w:val="00A94D6D"/>
    <w:rsid w:val="00A9512D"/>
    <w:rsid w:val="00A95AA2"/>
    <w:rsid w:val="00A95E35"/>
    <w:rsid w:val="00A96381"/>
    <w:rsid w:val="00A96EEC"/>
    <w:rsid w:val="00A97714"/>
    <w:rsid w:val="00AA0D7F"/>
    <w:rsid w:val="00AA0EDB"/>
    <w:rsid w:val="00AA15F8"/>
    <w:rsid w:val="00AA1ED8"/>
    <w:rsid w:val="00AA1EE6"/>
    <w:rsid w:val="00AA21A6"/>
    <w:rsid w:val="00AA230F"/>
    <w:rsid w:val="00AA286F"/>
    <w:rsid w:val="00AA53AE"/>
    <w:rsid w:val="00AA560B"/>
    <w:rsid w:val="00AA5A2B"/>
    <w:rsid w:val="00AA71C3"/>
    <w:rsid w:val="00AB04F3"/>
    <w:rsid w:val="00AB1285"/>
    <w:rsid w:val="00AB2107"/>
    <w:rsid w:val="00AB2B16"/>
    <w:rsid w:val="00AB2DA6"/>
    <w:rsid w:val="00AB3624"/>
    <w:rsid w:val="00AB36FA"/>
    <w:rsid w:val="00AB56F8"/>
    <w:rsid w:val="00AB5AE5"/>
    <w:rsid w:val="00AB5DE7"/>
    <w:rsid w:val="00AB6681"/>
    <w:rsid w:val="00AB727F"/>
    <w:rsid w:val="00AB798C"/>
    <w:rsid w:val="00AC0E76"/>
    <w:rsid w:val="00AC186B"/>
    <w:rsid w:val="00AC1CF4"/>
    <w:rsid w:val="00AC314A"/>
    <w:rsid w:val="00AC31BB"/>
    <w:rsid w:val="00AC365B"/>
    <w:rsid w:val="00AC379B"/>
    <w:rsid w:val="00AC4EF4"/>
    <w:rsid w:val="00AC4FFC"/>
    <w:rsid w:val="00AC553A"/>
    <w:rsid w:val="00AC5C6E"/>
    <w:rsid w:val="00AC6607"/>
    <w:rsid w:val="00AC6B14"/>
    <w:rsid w:val="00AC7272"/>
    <w:rsid w:val="00AC7AC3"/>
    <w:rsid w:val="00AD0D57"/>
    <w:rsid w:val="00AD1823"/>
    <w:rsid w:val="00AD2631"/>
    <w:rsid w:val="00AD2B28"/>
    <w:rsid w:val="00AD2CE0"/>
    <w:rsid w:val="00AD39FA"/>
    <w:rsid w:val="00AD3A2D"/>
    <w:rsid w:val="00AD3DBC"/>
    <w:rsid w:val="00AD4B09"/>
    <w:rsid w:val="00AD4C9F"/>
    <w:rsid w:val="00AD50FD"/>
    <w:rsid w:val="00AD5226"/>
    <w:rsid w:val="00AD5367"/>
    <w:rsid w:val="00AD5386"/>
    <w:rsid w:val="00AD62A0"/>
    <w:rsid w:val="00AE0631"/>
    <w:rsid w:val="00AE18E1"/>
    <w:rsid w:val="00AE24F0"/>
    <w:rsid w:val="00AE2763"/>
    <w:rsid w:val="00AE2E28"/>
    <w:rsid w:val="00AE34F2"/>
    <w:rsid w:val="00AE3647"/>
    <w:rsid w:val="00AE37B5"/>
    <w:rsid w:val="00AE5651"/>
    <w:rsid w:val="00AE6250"/>
    <w:rsid w:val="00AE6505"/>
    <w:rsid w:val="00AE69AD"/>
    <w:rsid w:val="00AF0794"/>
    <w:rsid w:val="00AF08E9"/>
    <w:rsid w:val="00AF12CA"/>
    <w:rsid w:val="00AF130E"/>
    <w:rsid w:val="00AF1671"/>
    <w:rsid w:val="00AF2C01"/>
    <w:rsid w:val="00AF3479"/>
    <w:rsid w:val="00AF3C0B"/>
    <w:rsid w:val="00AF4099"/>
    <w:rsid w:val="00AF4FA8"/>
    <w:rsid w:val="00AF5C8B"/>
    <w:rsid w:val="00AF6EEE"/>
    <w:rsid w:val="00AF7A59"/>
    <w:rsid w:val="00B00922"/>
    <w:rsid w:val="00B02310"/>
    <w:rsid w:val="00B02EFC"/>
    <w:rsid w:val="00B05F86"/>
    <w:rsid w:val="00B063D8"/>
    <w:rsid w:val="00B1020D"/>
    <w:rsid w:val="00B102A0"/>
    <w:rsid w:val="00B10E99"/>
    <w:rsid w:val="00B10F2F"/>
    <w:rsid w:val="00B1172E"/>
    <w:rsid w:val="00B11AD3"/>
    <w:rsid w:val="00B12783"/>
    <w:rsid w:val="00B12943"/>
    <w:rsid w:val="00B12F1A"/>
    <w:rsid w:val="00B14CE2"/>
    <w:rsid w:val="00B14D22"/>
    <w:rsid w:val="00B14E5B"/>
    <w:rsid w:val="00B14FB2"/>
    <w:rsid w:val="00B15368"/>
    <w:rsid w:val="00B15E43"/>
    <w:rsid w:val="00B16648"/>
    <w:rsid w:val="00B16872"/>
    <w:rsid w:val="00B16E37"/>
    <w:rsid w:val="00B174A9"/>
    <w:rsid w:val="00B17863"/>
    <w:rsid w:val="00B217C2"/>
    <w:rsid w:val="00B22788"/>
    <w:rsid w:val="00B227EF"/>
    <w:rsid w:val="00B235D5"/>
    <w:rsid w:val="00B23BC6"/>
    <w:rsid w:val="00B2433B"/>
    <w:rsid w:val="00B2551D"/>
    <w:rsid w:val="00B25659"/>
    <w:rsid w:val="00B25ECB"/>
    <w:rsid w:val="00B305D6"/>
    <w:rsid w:val="00B30BDB"/>
    <w:rsid w:val="00B3135E"/>
    <w:rsid w:val="00B318DC"/>
    <w:rsid w:val="00B31C93"/>
    <w:rsid w:val="00B342EC"/>
    <w:rsid w:val="00B34611"/>
    <w:rsid w:val="00B34889"/>
    <w:rsid w:val="00B352DB"/>
    <w:rsid w:val="00B35DFD"/>
    <w:rsid w:val="00B36116"/>
    <w:rsid w:val="00B363A0"/>
    <w:rsid w:val="00B373DF"/>
    <w:rsid w:val="00B40CB1"/>
    <w:rsid w:val="00B41FA9"/>
    <w:rsid w:val="00B429AF"/>
    <w:rsid w:val="00B42A79"/>
    <w:rsid w:val="00B42EEE"/>
    <w:rsid w:val="00B4301E"/>
    <w:rsid w:val="00B436E5"/>
    <w:rsid w:val="00B44236"/>
    <w:rsid w:val="00B46CFF"/>
    <w:rsid w:val="00B46D31"/>
    <w:rsid w:val="00B47084"/>
    <w:rsid w:val="00B50CFD"/>
    <w:rsid w:val="00B534DC"/>
    <w:rsid w:val="00B53A41"/>
    <w:rsid w:val="00B557FD"/>
    <w:rsid w:val="00B55C58"/>
    <w:rsid w:val="00B56CD8"/>
    <w:rsid w:val="00B574C2"/>
    <w:rsid w:val="00B61D55"/>
    <w:rsid w:val="00B62AE4"/>
    <w:rsid w:val="00B63A4C"/>
    <w:rsid w:val="00B64F4E"/>
    <w:rsid w:val="00B660B2"/>
    <w:rsid w:val="00B66601"/>
    <w:rsid w:val="00B6723C"/>
    <w:rsid w:val="00B67722"/>
    <w:rsid w:val="00B67A22"/>
    <w:rsid w:val="00B700A1"/>
    <w:rsid w:val="00B70248"/>
    <w:rsid w:val="00B7101A"/>
    <w:rsid w:val="00B715A2"/>
    <w:rsid w:val="00B719A0"/>
    <w:rsid w:val="00B7211A"/>
    <w:rsid w:val="00B7360B"/>
    <w:rsid w:val="00B73C7A"/>
    <w:rsid w:val="00B74239"/>
    <w:rsid w:val="00B751CA"/>
    <w:rsid w:val="00B7542A"/>
    <w:rsid w:val="00B754C7"/>
    <w:rsid w:val="00B75F5A"/>
    <w:rsid w:val="00B7729E"/>
    <w:rsid w:val="00B774FF"/>
    <w:rsid w:val="00B806CD"/>
    <w:rsid w:val="00B83142"/>
    <w:rsid w:val="00B83442"/>
    <w:rsid w:val="00B84AF1"/>
    <w:rsid w:val="00B84B9F"/>
    <w:rsid w:val="00B85001"/>
    <w:rsid w:val="00B860A0"/>
    <w:rsid w:val="00B862FF"/>
    <w:rsid w:val="00B8642F"/>
    <w:rsid w:val="00B86636"/>
    <w:rsid w:val="00B86FA7"/>
    <w:rsid w:val="00B87C29"/>
    <w:rsid w:val="00B92034"/>
    <w:rsid w:val="00B935E7"/>
    <w:rsid w:val="00B93930"/>
    <w:rsid w:val="00B93B2C"/>
    <w:rsid w:val="00B93C32"/>
    <w:rsid w:val="00B942C2"/>
    <w:rsid w:val="00B965DC"/>
    <w:rsid w:val="00B969E3"/>
    <w:rsid w:val="00B97143"/>
    <w:rsid w:val="00B9736D"/>
    <w:rsid w:val="00BA0869"/>
    <w:rsid w:val="00BA0AEA"/>
    <w:rsid w:val="00BA154D"/>
    <w:rsid w:val="00BA2887"/>
    <w:rsid w:val="00BA2CAF"/>
    <w:rsid w:val="00BA3D96"/>
    <w:rsid w:val="00BA3ECC"/>
    <w:rsid w:val="00BA3F0D"/>
    <w:rsid w:val="00BA463E"/>
    <w:rsid w:val="00BA4E49"/>
    <w:rsid w:val="00BA57D1"/>
    <w:rsid w:val="00BA5968"/>
    <w:rsid w:val="00BA6625"/>
    <w:rsid w:val="00BA6887"/>
    <w:rsid w:val="00BB0A97"/>
    <w:rsid w:val="00BB1162"/>
    <w:rsid w:val="00BB14C3"/>
    <w:rsid w:val="00BB17C3"/>
    <w:rsid w:val="00BB1A46"/>
    <w:rsid w:val="00BB1D26"/>
    <w:rsid w:val="00BB30C9"/>
    <w:rsid w:val="00BB3B27"/>
    <w:rsid w:val="00BB3BD2"/>
    <w:rsid w:val="00BB445F"/>
    <w:rsid w:val="00BB4FBF"/>
    <w:rsid w:val="00BB6DFF"/>
    <w:rsid w:val="00BB7E60"/>
    <w:rsid w:val="00BC10E9"/>
    <w:rsid w:val="00BC1366"/>
    <w:rsid w:val="00BC24B7"/>
    <w:rsid w:val="00BC3FEE"/>
    <w:rsid w:val="00BC50C0"/>
    <w:rsid w:val="00BC5B62"/>
    <w:rsid w:val="00BC6C0F"/>
    <w:rsid w:val="00BD014F"/>
    <w:rsid w:val="00BD0158"/>
    <w:rsid w:val="00BD0B38"/>
    <w:rsid w:val="00BD0FA7"/>
    <w:rsid w:val="00BD21F2"/>
    <w:rsid w:val="00BD2495"/>
    <w:rsid w:val="00BD26E3"/>
    <w:rsid w:val="00BD378C"/>
    <w:rsid w:val="00BD4921"/>
    <w:rsid w:val="00BD50D3"/>
    <w:rsid w:val="00BD5561"/>
    <w:rsid w:val="00BD7418"/>
    <w:rsid w:val="00BD7D4F"/>
    <w:rsid w:val="00BE122C"/>
    <w:rsid w:val="00BE1845"/>
    <w:rsid w:val="00BE1F83"/>
    <w:rsid w:val="00BE2BF4"/>
    <w:rsid w:val="00BE2D00"/>
    <w:rsid w:val="00BE2EB2"/>
    <w:rsid w:val="00BE347B"/>
    <w:rsid w:val="00BE5181"/>
    <w:rsid w:val="00BE54B8"/>
    <w:rsid w:val="00BE5EFE"/>
    <w:rsid w:val="00BE7899"/>
    <w:rsid w:val="00BF043E"/>
    <w:rsid w:val="00BF0D92"/>
    <w:rsid w:val="00BF1156"/>
    <w:rsid w:val="00BF13AA"/>
    <w:rsid w:val="00BF1684"/>
    <w:rsid w:val="00BF2356"/>
    <w:rsid w:val="00BF33BD"/>
    <w:rsid w:val="00BF3C20"/>
    <w:rsid w:val="00BF3DD6"/>
    <w:rsid w:val="00BF467C"/>
    <w:rsid w:val="00BF4739"/>
    <w:rsid w:val="00BF4810"/>
    <w:rsid w:val="00BF4826"/>
    <w:rsid w:val="00BF54E4"/>
    <w:rsid w:val="00BF5C18"/>
    <w:rsid w:val="00BF5C43"/>
    <w:rsid w:val="00BF67F5"/>
    <w:rsid w:val="00BF7713"/>
    <w:rsid w:val="00C00721"/>
    <w:rsid w:val="00C00802"/>
    <w:rsid w:val="00C00A00"/>
    <w:rsid w:val="00C00F7D"/>
    <w:rsid w:val="00C012D0"/>
    <w:rsid w:val="00C015DE"/>
    <w:rsid w:val="00C01FAE"/>
    <w:rsid w:val="00C025ED"/>
    <w:rsid w:val="00C02D30"/>
    <w:rsid w:val="00C038A7"/>
    <w:rsid w:val="00C03C07"/>
    <w:rsid w:val="00C04731"/>
    <w:rsid w:val="00C04F21"/>
    <w:rsid w:val="00C05251"/>
    <w:rsid w:val="00C0594F"/>
    <w:rsid w:val="00C062E5"/>
    <w:rsid w:val="00C06DC5"/>
    <w:rsid w:val="00C070D2"/>
    <w:rsid w:val="00C10021"/>
    <w:rsid w:val="00C103D5"/>
    <w:rsid w:val="00C11EC7"/>
    <w:rsid w:val="00C12917"/>
    <w:rsid w:val="00C14217"/>
    <w:rsid w:val="00C1475D"/>
    <w:rsid w:val="00C147AC"/>
    <w:rsid w:val="00C15192"/>
    <w:rsid w:val="00C153FD"/>
    <w:rsid w:val="00C15A77"/>
    <w:rsid w:val="00C15FDB"/>
    <w:rsid w:val="00C16FBB"/>
    <w:rsid w:val="00C207FE"/>
    <w:rsid w:val="00C21CDA"/>
    <w:rsid w:val="00C22482"/>
    <w:rsid w:val="00C2259F"/>
    <w:rsid w:val="00C23377"/>
    <w:rsid w:val="00C243AB"/>
    <w:rsid w:val="00C25521"/>
    <w:rsid w:val="00C262FC"/>
    <w:rsid w:val="00C2665F"/>
    <w:rsid w:val="00C268C6"/>
    <w:rsid w:val="00C273B3"/>
    <w:rsid w:val="00C2773E"/>
    <w:rsid w:val="00C314D1"/>
    <w:rsid w:val="00C32029"/>
    <w:rsid w:val="00C3251C"/>
    <w:rsid w:val="00C33400"/>
    <w:rsid w:val="00C34067"/>
    <w:rsid w:val="00C345A3"/>
    <w:rsid w:val="00C34A08"/>
    <w:rsid w:val="00C34DF3"/>
    <w:rsid w:val="00C34DFF"/>
    <w:rsid w:val="00C355C0"/>
    <w:rsid w:val="00C3598C"/>
    <w:rsid w:val="00C35EA9"/>
    <w:rsid w:val="00C362D4"/>
    <w:rsid w:val="00C36660"/>
    <w:rsid w:val="00C36AF5"/>
    <w:rsid w:val="00C36EC5"/>
    <w:rsid w:val="00C40843"/>
    <w:rsid w:val="00C40C4B"/>
    <w:rsid w:val="00C42D66"/>
    <w:rsid w:val="00C44633"/>
    <w:rsid w:val="00C453D9"/>
    <w:rsid w:val="00C457B2"/>
    <w:rsid w:val="00C45EE6"/>
    <w:rsid w:val="00C46373"/>
    <w:rsid w:val="00C4688A"/>
    <w:rsid w:val="00C46912"/>
    <w:rsid w:val="00C46D9B"/>
    <w:rsid w:val="00C46F44"/>
    <w:rsid w:val="00C47F91"/>
    <w:rsid w:val="00C5162B"/>
    <w:rsid w:val="00C568A3"/>
    <w:rsid w:val="00C57539"/>
    <w:rsid w:val="00C5759C"/>
    <w:rsid w:val="00C5770B"/>
    <w:rsid w:val="00C600F1"/>
    <w:rsid w:val="00C60C12"/>
    <w:rsid w:val="00C61915"/>
    <w:rsid w:val="00C634FC"/>
    <w:rsid w:val="00C64536"/>
    <w:rsid w:val="00C65961"/>
    <w:rsid w:val="00C65F2C"/>
    <w:rsid w:val="00C668EB"/>
    <w:rsid w:val="00C70007"/>
    <w:rsid w:val="00C702A9"/>
    <w:rsid w:val="00C707D8"/>
    <w:rsid w:val="00C70F37"/>
    <w:rsid w:val="00C726D8"/>
    <w:rsid w:val="00C72E08"/>
    <w:rsid w:val="00C72F44"/>
    <w:rsid w:val="00C72FF1"/>
    <w:rsid w:val="00C740F5"/>
    <w:rsid w:val="00C74C25"/>
    <w:rsid w:val="00C75638"/>
    <w:rsid w:val="00C761A3"/>
    <w:rsid w:val="00C76E5A"/>
    <w:rsid w:val="00C773F3"/>
    <w:rsid w:val="00C77596"/>
    <w:rsid w:val="00C77D17"/>
    <w:rsid w:val="00C81181"/>
    <w:rsid w:val="00C81198"/>
    <w:rsid w:val="00C820FC"/>
    <w:rsid w:val="00C82508"/>
    <w:rsid w:val="00C83319"/>
    <w:rsid w:val="00C839D1"/>
    <w:rsid w:val="00C8457E"/>
    <w:rsid w:val="00C845EA"/>
    <w:rsid w:val="00C86D4C"/>
    <w:rsid w:val="00C870FB"/>
    <w:rsid w:val="00C87E2A"/>
    <w:rsid w:val="00C92573"/>
    <w:rsid w:val="00C9300C"/>
    <w:rsid w:val="00C937D6"/>
    <w:rsid w:val="00C9433F"/>
    <w:rsid w:val="00C963F1"/>
    <w:rsid w:val="00C9673E"/>
    <w:rsid w:val="00C971CF"/>
    <w:rsid w:val="00C97404"/>
    <w:rsid w:val="00C975F8"/>
    <w:rsid w:val="00C97981"/>
    <w:rsid w:val="00C97B35"/>
    <w:rsid w:val="00C97B82"/>
    <w:rsid w:val="00CA01F4"/>
    <w:rsid w:val="00CA10DF"/>
    <w:rsid w:val="00CA1726"/>
    <w:rsid w:val="00CA39CB"/>
    <w:rsid w:val="00CA3A03"/>
    <w:rsid w:val="00CA4543"/>
    <w:rsid w:val="00CA5556"/>
    <w:rsid w:val="00CA5F45"/>
    <w:rsid w:val="00CA62D3"/>
    <w:rsid w:val="00CA6374"/>
    <w:rsid w:val="00CA64E8"/>
    <w:rsid w:val="00CA6624"/>
    <w:rsid w:val="00CA7C8B"/>
    <w:rsid w:val="00CA7F8F"/>
    <w:rsid w:val="00CB0009"/>
    <w:rsid w:val="00CB04AF"/>
    <w:rsid w:val="00CB0627"/>
    <w:rsid w:val="00CB3AD6"/>
    <w:rsid w:val="00CB41B5"/>
    <w:rsid w:val="00CB70FF"/>
    <w:rsid w:val="00CC13E9"/>
    <w:rsid w:val="00CC2A02"/>
    <w:rsid w:val="00CC3962"/>
    <w:rsid w:val="00CC41D9"/>
    <w:rsid w:val="00CC4A1E"/>
    <w:rsid w:val="00CC6AB4"/>
    <w:rsid w:val="00CD04A5"/>
    <w:rsid w:val="00CD07C8"/>
    <w:rsid w:val="00CD0E3D"/>
    <w:rsid w:val="00CD0EA9"/>
    <w:rsid w:val="00CD137A"/>
    <w:rsid w:val="00CD1D41"/>
    <w:rsid w:val="00CD2867"/>
    <w:rsid w:val="00CD30DF"/>
    <w:rsid w:val="00CD3398"/>
    <w:rsid w:val="00CD37A7"/>
    <w:rsid w:val="00CD41B8"/>
    <w:rsid w:val="00CD4604"/>
    <w:rsid w:val="00CD5673"/>
    <w:rsid w:val="00CD5B68"/>
    <w:rsid w:val="00CD70AA"/>
    <w:rsid w:val="00CD70B5"/>
    <w:rsid w:val="00CD7304"/>
    <w:rsid w:val="00CD7E73"/>
    <w:rsid w:val="00CE019D"/>
    <w:rsid w:val="00CE0F4B"/>
    <w:rsid w:val="00CE1743"/>
    <w:rsid w:val="00CE1786"/>
    <w:rsid w:val="00CE199A"/>
    <w:rsid w:val="00CE2667"/>
    <w:rsid w:val="00CE283B"/>
    <w:rsid w:val="00CE2971"/>
    <w:rsid w:val="00CE2BB8"/>
    <w:rsid w:val="00CE46DC"/>
    <w:rsid w:val="00CE4AA8"/>
    <w:rsid w:val="00CE5200"/>
    <w:rsid w:val="00CE5464"/>
    <w:rsid w:val="00CE55F3"/>
    <w:rsid w:val="00CE574E"/>
    <w:rsid w:val="00CE5B80"/>
    <w:rsid w:val="00CE6997"/>
    <w:rsid w:val="00CE6B3A"/>
    <w:rsid w:val="00CE7E69"/>
    <w:rsid w:val="00CF141D"/>
    <w:rsid w:val="00CF162D"/>
    <w:rsid w:val="00CF1CA9"/>
    <w:rsid w:val="00CF2E02"/>
    <w:rsid w:val="00CF3BF5"/>
    <w:rsid w:val="00CF4CC2"/>
    <w:rsid w:val="00CF5198"/>
    <w:rsid w:val="00CF6510"/>
    <w:rsid w:val="00CF65B9"/>
    <w:rsid w:val="00D008F4"/>
    <w:rsid w:val="00D00EC7"/>
    <w:rsid w:val="00D032A0"/>
    <w:rsid w:val="00D035E5"/>
    <w:rsid w:val="00D04CBB"/>
    <w:rsid w:val="00D058F7"/>
    <w:rsid w:val="00D05BA9"/>
    <w:rsid w:val="00D0650D"/>
    <w:rsid w:val="00D07047"/>
    <w:rsid w:val="00D07317"/>
    <w:rsid w:val="00D07C79"/>
    <w:rsid w:val="00D10D8A"/>
    <w:rsid w:val="00D10DBB"/>
    <w:rsid w:val="00D10ED7"/>
    <w:rsid w:val="00D132AF"/>
    <w:rsid w:val="00D13931"/>
    <w:rsid w:val="00D14BE1"/>
    <w:rsid w:val="00D15EFF"/>
    <w:rsid w:val="00D16A61"/>
    <w:rsid w:val="00D17B8E"/>
    <w:rsid w:val="00D20BAE"/>
    <w:rsid w:val="00D20CCA"/>
    <w:rsid w:val="00D21364"/>
    <w:rsid w:val="00D21A5E"/>
    <w:rsid w:val="00D22B9D"/>
    <w:rsid w:val="00D24F34"/>
    <w:rsid w:val="00D25661"/>
    <w:rsid w:val="00D25B8F"/>
    <w:rsid w:val="00D2635C"/>
    <w:rsid w:val="00D2682A"/>
    <w:rsid w:val="00D30BC4"/>
    <w:rsid w:val="00D31117"/>
    <w:rsid w:val="00D32828"/>
    <w:rsid w:val="00D32B90"/>
    <w:rsid w:val="00D339D2"/>
    <w:rsid w:val="00D34ABE"/>
    <w:rsid w:val="00D35ABE"/>
    <w:rsid w:val="00D36579"/>
    <w:rsid w:val="00D371EE"/>
    <w:rsid w:val="00D37588"/>
    <w:rsid w:val="00D40AF3"/>
    <w:rsid w:val="00D4100E"/>
    <w:rsid w:val="00D415F4"/>
    <w:rsid w:val="00D41E07"/>
    <w:rsid w:val="00D41F2A"/>
    <w:rsid w:val="00D41FC7"/>
    <w:rsid w:val="00D4284F"/>
    <w:rsid w:val="00D42E24"/>
    <w:rsid w:val="00D43B97"/>
    <w:rsid w:val="00D44641"/>
    <w:rsid w:val="00D45BE5"/>
    <w:rsid w:val="00D45C40"/>
    <w:rsid w:val="00D460E3"/>
    <w:rsid w:val="00D47011"/>
    <w:rsid w:val="00D47916"/>
    <w:rsid w:val="00D47B5F"/>
    <w:rsid w:val="00D47E81"/>
    <w:rsid w:val="00D5001B"/>
    <w:rsid w:val="00D50551"/>
    <w:rsid w:val="00D50D0A"/>
    <w:rsid w:val="00D50F21"/>
    <w:rsid w:val="00D510DF"/>
    <w:rsid w:val="00D5148B"/>
    <w:rsid w:val="00D51982"/>
    <w:rsid w:val="00D51BDB"/>
    <w:rsid w:val="00D51D0C"/>
    <w:rsid w:val="00D533D5"/>
    <w:rsid w:val="00D53D88"/>
    <w:rsid w:val="00D549B2"/>
    <w:rsid w:val="00D54D06"/>
    <w:rsid w:val="00D54D6B"/>
    <w:rsid w:val="00D557DC"/>
    <w:rsid w:val="00D57098"/>
    <w:rsid w:val="00D57134"/>
    <w:rsid w:val="00D602E0"/>
    <w:rsid w:val="00D605E0"/>
    <w:rsid w:val="00D609F5"/>
    <w:rsid w:val="00D62A19"/>
    <w:rsid w:val="00D6371C"/>
    <w:rsid w:val="00D64235"/>
    <w:rsid w:val="00D650BB"/>
    <w:rsid w:val="00D6551E"/>
    <w:rsid w:val="00D657CB"/>
    <w:rsid w:val="00D66724"/>
    <w:rsid w:val="00D66A92"/>
    <w:rsid w:val="00D67856"/>
    <w:rsid w:val="00D704E2"/>
    <w:rsid w:val="00D71910"/>
    <w:rsid w:val="00D73525"/>
    <w:rsid w:val="00D757EE"/>
    <w:rsid w:val="00D769D5"/>
    <w:rsid w:val="00D804AF"/>
    <w:rsid w:val="00D80970"/>
    <w:rsid w:val="00D82005"/>
    <w:rsid w:val="00D82249"/>
    <w:rsid w:val="00D83923"/>
    <w:rsid w:val="00D85C23"/>
    <w:rsid w:val="00D86845"/>
    <w:rsid w:val="00D86E20"/>
    <w:rsid w:val="00D872CB"/>
    <w:rsid w:val="00D875DA"/>
    <w:rsid w:val="00D87CD9"/>
    <w:rsid w:val="00D87E8C"/>
    <w:rsid w:val="00D90E10"/>
    <w:rsid w:val="00D94751"/>
    <w:rsid w:val="00D951C0"/>
    <w:rsid w:val="00D956B5"/>
    <w:rsid w:val="00D968E4"/>
    <w:rsid w:val="00D96970"/>
    <w:rsid w:val="00D96C55"/>
    <w:rsid w:val="00D96DD9"/>
    <w:rsid w:val="00D97494"/>
    <w:rsid w:val="00DA096A"/>
    <w:rsid w:val="00DA0BBC"/>
    <w:rsid w:val="00DA0E41"/>
    <w:rsid w:val="00DA0F17"/>
    <w:rsid w:val="00DA19BE"/>
    <w:rsid w:val="00DA40C1"/>
    <w:rsid w:val="00DA4DF6"/>
    <w:rsid w:val="00DA4FA3"/>
    <w:rsid w:val="00DA513C"/>
    <w:rsid w:val="00DA5541"/>
    <w:rsid w:val="00DA5D57"/>
    <w:rsid w:val="00DA735E"/>
    <w:rsid w:val="00DA7612"/>
    <w:rsid w:val="00DA7FE0"/>
    <w:rsid w:val="00DB1AA7"/>
    <w:rsid w:val="00DB1E91"/>
    <w:rsid w:val="00DB42CD"/>
    <w:rsid w:val="00DB4A94"/>
    <w:rsid w:val="00DB552D"/>
    <w:rsid w:val="00DB5920"/>
    <w:rsid w:val="00DB5A5F"/>
    <w:rsid w:val="00DB7314"/>
    <w:rsid w:val="00DC0385"/>
    <w:rsid w:val="00DC0E97"/>
    <w:rsid w:val="00DC1878"/>
    <w:rsid w:val="00DC203D"/>
    <w:rsid w:val="00DC2601"/>
    <w:rsid w:val="00DC61E3"/>
    <w:rsid w:val="00DC6710"/>
    <w:rsid w:val="00DC73F7"/>
    <w:rsid w:val="00DC75CB"/>
    <w:rsid w:val="00DC7FCC"/>
    <w:rsid w:val="00DD04D8"/>
    <w:rsid w:val="00DD0C45"/>
    <w:rsid w:val="00DD2D4C"/>
    <w:rsid w:val="00DD35FE"/>
    <w:rsid w:val="00DD52EE"/>
    <w:rsid w:val="00DD59D1"/>
    <w:rsid w:val="00DD5CEF"/>
    <w:rsid w:val="00DD706D"/>
    <w:rsid w:val="00DD72A3"/>
    <w:rsid w:val="00DD7849"/>
    <w:rsid w:val="00DD7BA9"/>
    <w:rsid w:val="00DD7E2D"/>
    <w:rsid w:val="00DE0303"/>
    <w:rsid w:val="00DE124A"/>
    <w:rsid w:val="00DE1303"/>
    <w:rsid w:val="00DE2EA9"/>
    <w:rsid w:val="00DE3742"/>
    <w:rsid w:val="00DE3E65"/>
    <w:rsid w:val="00DE536A"/>
    <w:rsid w:val="00DE54AB"/>
    <w:rsid w:val="00DE5CA1"/>
    <w:rsid w:val="00DE5DD2"/>
    <w:rsid w:val="00DE6A8A"/>
    <w:rsid w:val="00DE6E5C"/>
    <w:rsid w:val="00DE7823"/>
    <w:rsid w:val="00DE7ED5"/>
    <w:rsid w:val="00DF0405"/>
    <w:rsid w:val="00DF059B"/>
    <w:rsid w:val="00DF0D51"/>
    <w:rsid w:val="00DF11A4"/>
    <w:rsid w:val="00DF1224"/>
    <w:rsid w:val="00DF1459"/>
    <w:rsid w:val="00DF198B"/>
    <w:rsid w:val="00DF27D9"/>
    <w:rsid w:val="00DF2ED4"/>
    <w:rsid w:val="00DF2FE1"/>
    <w:rsid w:val="00DF374F"/>
    <w:rsid w:val="00DF451D"/>
    <w:rsid w:val="00DF4E8A"/>
    <w:rsid w:val="00DF6087"/>
    <w:rsid w:val="00DF6315"/>
    <w:rsid w:val="00DF6A9A"/>
    <w:rsid w:val="00DF7362"/>
    <w:rsid w:val="00DF7760"/>
    <w:rsid w:val="00DF7BBD"/>
    <w:rsid w:val="00DF7C68"/>
    <w:rsid w:val="00E01C94"/>
    <w:rsid w:val="00E02577"/>
    <w:rsid w:val="00E02D56"/>
    <w:rsid w:val="00E03E4A"/>
    <w:rsid w:val="00E04D9A"/>
    <w:rsid w:val="00E053B3"/>
    <w:rsid w:val="00E063E1"/>
    <w:rsid w:val="00E07CD8"/>
    <w:rsid w:val="00E104FE"/>
    <w:rsid w:val="00E10E03"/>
    <w:rsid w:val="00E10FEF"/>
    <w:rsid w:val="00E1262F"/>
    <w:rsid w:val="00E12E9A"/>
    <w:rsid w:val="00E13063"/>
    <w:rsid w:val="00E13E11"/>
    <w:rsid w:val="00E13E49"/>
    <w:rsid w:val="00E14B23"/>
    <w:rsid w:val="00E153F1"/>
    <w:rsid w:val="00E17080"/>
    <w:rsid w:val="00E17829"/>
    <w:rsid w:val="00E17F27"/>
    <w:rsid w:val="00E2005C"/>
    <w:rsid w:val="00E203A7"/>
    <w:rsid w:val="00E20512"/>
    <w:rsid w:val="00E20F37"/>
    <w:rsid w:val="00E21F2B"/>
    <w:rsid w:val="00E22BC2"/>
    <w:rsid w:val="00E23095"/>
    <w:rsid w:val="00E23459"/>
    <w:rsid w:val="00E23962"/>
    <w:rsid w:val="00E25BEA"/>
    <w:rsid w:val="00E263E6"/>
    <w:rsid w:val="00E276C4"/>
    <w:rsid w:val="00E277D6"/>
    <w:rsid w:val="00E27E03"/>
    <w:rsid w:val="00E30C41"/>
    <w:rsid w:val="00E31445"/>
    <w:rsid w:val="00E32ED3"/>
    <w:rsid w:val="00E33221"/>
    <w:rsid w:val="00E34D81"/>
    <w:rsid w:val="00E352A0"/>
    <w:rsid w:val="00E355D3"/>
    <w:rsid w:val="00E35FF0"/>
    <w:rsid w:val="00E3729F"/>
    <w:rsid w:val="00E40D7E"/>
    <w:rsid w:val="00E42CC9"/>
    <w:rsid w:val="00E433A7"/>
    <w:rsid w:val="00E4396F"/>
    <w:rsid w:val="00E43E01"/>
    <w:rsid w:val="00E43F30"/>
    <w:rsid w:val="00E4576E"/>
    <w:rsid w:val="00E47C77"/>
    <w:rsid w:val="00E5037E"/>
    <w:rsid w:val="00E5063A"/>
    <w:rsid w:val="00E50AB6"/>
    <w:rsid w:val="00E517D4"/>
    <w:rsid w:val="00E522FF"/>
    <w:rsid w:val="00E52CC6"/>
    <w:rsid w:val="00E537F7"/>
    <w:rsid w:val="00E54190"/>
    <w:rsid w:val="00E5558E"/>
    <w:rsid w:val="00E5604E"/>
    <w:rsid w:val="00E560FE"/>
    <w:rsid w:val="00E56842"/>
    <w:rsid w:val="00E56A2D"/>
    <w:rsid w:val="00E571F2"/>
    <w:rsid w:val="00E57EBF"/>
    <w:rsid w:val="00E603F2"/>
    <w:rsid w:val="00E60A22"/>
    <w:rsid w:val="00E6168A"/>
    <w:rsid w:val="00E62D71"/>
    <w:rsid w:val="00E63C28"/>
    <w:rsid w:val="00E647CA"/>
    <w:rsid w:val="00E64F71"/>
    <w:rsid w:val="00E6506D"/>
    <w:rsid w:val="00E66948"/>
    <w:rsid w:val="00E67784"/>
    <w:rsid w:val="00E70664"/>
    <w:rsid w:val="00E70C0D"/>
    <w:rsid w:val="00E712BF"/>
    <w:rsid w:val="00E715D9"/>
    <w:rsid w:val="00E7193E"/>
    <w:rsid w:val="00E721F5"/>
    <w:rsid w:val="00E7269C"/>
    <w:rsid w:val="00E7290F"/>
    <w:rsid w:val="00E72D6D"/>
    <w:rsid w:val="00E7342A"/>
    <w:rsid w:val="00E73549"/>
    <w:rsid w:val="00E752E3"/>
    <w:rsid w:val="00E7676C"/>
    <w:rsid w:val="00E76862"/>
    <w:rsid w:val="00E76912"/>
    <w:rsid w:val="00E76CD1"/>
    <w:rsid w:val="00E77668"/>
    <w:rsid w:val="00E80181"/>
    <w:rsid w:val="00E82DA8"/>
    <w:rsid w:val="00E83151"/>
    <w:rsid w:val="00E8352E"/>
    <w:rsid w:val="00E83727"/>
    <w:rsid w:val="00E83BEF"/>
    <w:rsid w:val="00E83CF5"/>
    <w:rsid w:val="00E84822"/>
    <w:rsid w:val="00E84AD2"/>
    <w:rsid w:val="00E853E2"/>
    <w:rsid w:val="00E853FE"/>
    <w:rsid w:val="00E85484"/>
    <w:rsid w:val="00E855BC"/>
    <w:rsid w:val="00E85C98"/>
    <w:rsid w:val="00E85F05"/>
    <w:rsid w:val="00E86572"/>
    <w:rsid w:val="00E870A8"/>
    <w:rsid w:val="00E904D7"/>
    <w:rsid w:val="00E90A56"/>
    <w:rsid w:val="00E91289"/>
    <w:rsid w:val="00E91810"/>
    <w:rsid w:val="00E93951"/>
    <w:rsid w:val="00E94891"/>
    <w:rsid w:val="00E94AF4"/>
    <w:rsid w:val="00E94F4D"/>
    <w:rsid w:val="00E953DF"/>
    <w:rsid w:val="00E95E84"/>
    <w:rsid w:val="00E96730"/>
    <w:rsid w:val="00E96E30"/>
    <w:rsid w:val="00E96F61"/>
    <w:rsid w:val="00E974DB"/>
    <w:rsid w:val="00E97845"/>
    <w:rsid w:val="00E97EAD"/>
    <w:rsid w:val="00EA1EC6"/>
    <w:rsid w:val="00EA3D1E"/>
    <w:rsid w:val="00EA44A6"/>
    <w:rsid w:val="00EA5322"/>
    <w:rsid w:val="00EA6BCD"/>
    <w:rsid w:val="00EB0176"/>
    <w:rsid w:val="00EB1273"/>
    <w:rsid w:val="00EB16F2"/>
    <w:rsid w:val="00EB2FAE"/>
    <w:rsid w:val="00EB3103"/>
    <w:rsid w:val="00EB34B2"/>
    <w:rsid w:val="00EB374D"/>
    <w:rsid w:val="00EB4268"/>
    <w:rsid w:val="00EB4AF5"/>
    <w:rsid w:val="00EB5382"/>
    <w:rsid w:val="00EB5A07"/>
    <w:rsid w:val="00EB6528"/>
    <w:rsid w:val="00EB6B3E"/>
    <w:rsid w:val="00EC1F14"/>
    <w:rsid w:val="00EC3596"/>
    <w:rsid w:val="00EC393A"/>
    <w:rsid w:val="00EC3B11"/>
    <w:rsid w:val="00EC3CAB"/>
    <w:rsid w:val="00EC3E1F"/>
    <w:rsid w:val="00EC4AEA"/>
    <w:rsid w:val="00EC4D79"/>
    <w:rsid w:val="00EC4F1E"/>
    <w:rsid w:val="00EC584A"/>
    <w:rsid w:val="00EC6516"/>
    <w:rsid w:val="00EC724A"/>
    <w:rsid w:val="00ED017C"/>
    <w:rsid w:val="00ED0C77"/>
    <w:rsid w:val="00ED0F99"/>
    <w:rsid w:val="00ED1BDD"/>
    <w:rsid w:val="00ED2626"/>
    <w:rsid w:val="00ED2CF4"/>
    <w:rsid w:val="00ED3BBE"/>
    <w:rsid w:val="00ED414F"/>
    <w:rsid w:val="00ED41CE"/>
    <w:rsid w:val="00ED65DD"/>
    <w:rsid w:val="00EE02F5"/>
    <w:rsid w:val="00EE0CBF"/>
    <w:rsid w:val="00EE0FA1"/>
    <w:rsid w:val="00EE15EF"/>
    <w:rsid w:val="00EE178A"/>
    <w:rsid w:val="00EE1CE1"/>
    <w:rsid w:val="00EE251D"/>
    <w:rsid w:val="00EE255A"/>
    <w:rsid w:val="00EE3CCF"/>
    <w:rsid w:val="00EE3D95"/>
    <w:rsid w:val="00EE3E04"/>
    <w:rsid w:val="00EE4184"/>
    <w:rsid w:val="00EE42BD"/>
    <w:rsid w:val="00EE50BE"/>
    <w:rsid w:val="00EE6056"/>
    <w:rsid w:val="00EE640E"/>
    <w:rsid w:val="00EE644C"/>
    <w:rsid w:val="00EE754B"/>
    <w:rsid w:val="00EE7D33"/>
    <w:rsid w:val="00EF0C63"/>
    <w:rsid w:val="00EF191B"/>
    <w:rsid w:val="00EF1A35"/>
    <w:rsid w:val="00EF37BD"/>
    <w:rsid w:val="00EF39AA"/>
    <w:rsid w:val="00EF5286"/>
    <w:rsid w:val="00EF5B68"/>
    <w:rsid w:val="00EF5E3E"/>
    <w:rsid w:val="00EF629E"/>
    <w:rsid w:val="00EF6B11"/>
    <w:rsid w:val="00EF71C7"/>
    <w:rsid w:val="00EF741C"/>
    <w:rsid w:val="00F006C3"/>
    <w:rsid w:val="00F007B6"/>
    <w:rsid w:val="00F0111F"/>
    <w:rsid w:val="00F0192B"/>
    <w:rsid w:val="00F021AB"/>
    <w:rsid w:val="00F03037"/>
    <w:rsid w:val="00F03259"/>
    <w:rsid w:val="00F048C1"/>
    <w:rsid w:val="00F058CE"/>
    <w:rsid w:val="00F05A01"/>
    <w:rsid w:val="00F05F05"/>
    <w:rsid w:val="00F066EB"/>
    <w:rsid w:val="00F076CB"/>
    <w:rsid w:val="00F07984"/>
    <w:rsid w:val="00F10716"/>
    <w:rsid w:val="00F11960"/>
    <w:rsid w:val="00F133D8"/>
    <w:rsid w:val="00F137DB"/>
    <w:rsid w:val="00F13FCC"/>
    <w:rsid w:val="00F1419A"/>
    <w:rsid w:val="00F143F5"/>
    <w:rsid w:val="00F15609"/>
    <w:rsid w:val="00F15853"/>
    <w:rsid w:val="00F15BC3"/>
    <w:rsid w:val="00F16147"/>
    <w:rsid w:val="00F164BE"/>
    <w:rsid w:val="00F16CAF"/>
    <w:rsid w:val="00F175F1"/>
    <w:rsid w:val="00F1785E"/>
    <w:rsid w:val="00F17E3D"/>
    <w:rsid w:val="00F20B7B"/>
    <w:rsid w:val="00F20E4A"/>
    <w:rsid w:val="00F21A80"/>
    <w:rsid w:val="00F2217C"/>
    <w:rsid w:val="00F23A1F"/>
    <w:rsid w:val="00F240AE"/>
    <w:rsid w:val="00F240C7"/>
    <w:rsid w:val="00F2495D"/>
    <w:rsid w:val="00F24B6A"/>
    <w:rsid w:val="00F26A4F"/>
    <w:rsid w:val="00F26D12"/>
    <w:rsid w:val="00F30668"/>
    <w:rsid w:val="00F30C85"/>
    <w:rsid w:val="00F313B0"/>
    <w:rsid w:val="00F31798"/>
    <w:rsid w:val="00F317C4"/>
    <w:rsid w:val="00F320B5"/>
    <w:rsid w:val="00F323CE"/>
    <w:rsid w:val="00F3299A"/>
    <w:rsid w:val="00F32D83"/>
    <w:rsid w:val="00F33DDF"/>
    <w:rsid w:val="00F33EE1"/>
    <w:rsid w:val="00F346ED"/>
    <w:rsid w:val="00F34DE8"/>
    <w:rsid w:val="00F36639"/>
    <w:rsid w:val="00F36B73"/>
    <w:rsid w:val="00F377F0"/>
    <w:rsid w:val="00F37800"/>
    <w:rsid w:val="00F37A6E"/>
    <w:rsid w:val="00F4074C"/>
    <w:rsid w:val="00F408C7"/>
    <w:rsid w:val="00F40A11"/>
    <w:rsid w:val="00F42ACF"/>
    <w:rsid w:val="00F430C9"/>
    <w:rsid w:val="00F438A1"/>
    <w:rsid w:val="00F440BE"/>
    <w:rsid w:val="00F462E4"/>
    <w:rsid w:val="00F46C64"/>
    <w:rsid w:val="00F46CBE"/>
    <w:rsid w:val="00F5179E"/>
    <w:rsid w:val="00F51C6B"/>
    <w:rsid w:val="00F52405"/>
    <w:rsid w:val="00F52A1B"/>
    <w:rsid w:val="00F539D9"/>
    <w:rsid w:val="00F54A73"/>
    <w:rsid w:val="00F55A5A"/>
    <w:rsid w:val="00F55B40"/>
    <w:rsid w:val="00F55B8B"/>
    <w:rsid w:val="00F56593"/>
    <w:rsid w:val="00F56C34"/>
    <w:rsid w:val="00F61821"/>
    <w:rsid w:val="00F61D58"/>
    <w:rsid w:val="00F61FEC"/>
    <w:rsid w:val="00F62168"/>
    <w:rsid w:val="00F627D4"/>
    <w:rsid w:val="00F62956"/>
    <w:rsid w:val="00F62EF7"/>
    <w:rsid w:val="00F649FB"/>
    <w:rsid w:val="00F64B5E"/>
    <w:rsid w:val="00F65F89"/>
    <w:rsid w:val="00F6748A"/>
    <w:rsid w:val="00F67E90"/>
    <w:rsid w:val="00F70330"/>
    <w:rsid w:val="00F7131B"/>
    <w:rsid w:val="00F7155D"/>
    <w:rsid w:val="00F725AD"/>
    <w:rsid w:val="00F73DD2"/>
    <w:rsid w:val="00F7450E"/>
    <w:rsid w:val="00F74FAC"/>
    <w:rsid w:val="00F76054"/>
    <w:rsid w:val="00F76739"/>
    <w:rsid w:val="00F7748C"/>
    <w:rsid w:val="00F7767F"/>
    <w:rsid w:val="00F7778E"/>
    <w:rsid w:val="00F8034B"/>
    <w:rsid w:val="00F82A9E"/>
    <w:rsid w:val="00F82DA1"/>
    <w:rsid w:val="00F83018"/>
    <w:rsid w:val="00F8340F"/>
    <w:rsid w:val="00F8443C"/>
    <w:rsid w:val="00F84C0C"/>
    <w:rsid w:val="00F8582D"/>
    <w:rsid w:val="00F86D23"/>
    <w:rsid w:val="00F873ED"/>
    <w:rsid w:val="00F87915"/>
    <w:rsid w:val="00F87D38"/>
    <w:rsid w:val="00F90584"/>
    <w:rsid w:val="00F90765"/>
    <w:rsid w:val="00F91114"/>
    <w:rsid w:val="00F9130F"/>
    <w:rsid w:val="00F91371"/>
    <w:rsid w:val="00F91969"/>
    <w:rsid w:val="00F9373D"/>
    <w:rsid w:val="00F937E6"/>
    <w:rsid w:val="00F943F3"/>
    <w:rsid w:val="00F94822"/>
    <w:rsid w:val="00F969AD"/>
    <w:rsid w:val="00F96B3C"/>
    <w:rsid w:val="00F9793F"/>
    <w:rsid w:val="00FA0276"/>
    <w:rsid w:val="00FA06AE"/>
    <w:rsid w:val="00FA1499"/>
    <w:rsid w:val="00FA22D8"/>
    <w:rsid w:val="00FA27EC"/>
    <w:rsid w:val="00FA391B"/>
    <w:rsid w:val="00FA3E4F"/>
    <w:rsid w:val="00FA62A9"/>
    <w:rsid w:val="00FA64AF"/>
    <w:rsid w:val="00FA6BF8"/>
    <w:rsid w:val="00FA740E"/>
    <w:rsid w:val="00FB14F7"/>
    <w:rsid w:val="00FB1E25"/>
    <w:rsid w:val="00FB25D2"/>
    <w:rsid w:val="00FB392D"/>
    <w:rsid w:val="00FB4C25"/>
    <w:rsid w:val="00FB4DCF"/>
    <w:rsid w:val="00FB67C6"/>
    <w:rsid w:val="00FB6FF1"/>
    <w:rsid w:val="00FB778B"/>
    <w:rsid w:val="00FB77B2"/>
    <w:rsid w:val="00FB7C03"/>
    <w:rsid w:val="00FC02E1"/>
    <w:rsid w:val="00FC07C4"/>
    <w:rsid w:val="00FC0B40"/>
    <w:rsid w:val="00FC0CA4"/>
    <w:rsid w:val="00FC1F37"/>
    <w:rsid w:val="00FC2575"/>
    <w:rsid w:val="00FC2A2B"/>
    <w:rsid w:val="00FC3777"/>
    <w:rsid w:val="00FC3ACB"/>
    <w:rsid w:val="00FC3B1F"/>
    <w:rsid w:val="00FC4266"/>
    <w:rsid w:val="00FC4B25"/>
    <w:rsid w:val="00FC7248"/>
    <w:rsid w:val="00FC7D32"/>
    <w:rsid w:val="00FD0BA9"/>
    <w:rsid w:val="00FD0D6B"/>
    <w:rsid w:val="00FD11A7"/>
    <w:rsid w:val="00FD1F19"/>
    <w:rsid w:val="00FD28DB"/>
    <w:rsid w:val="00FD4214"/>
    <w:rsid w:val="00FD424E"/>
    <w:rsid w:val="00FD4313"/>
    <w:rsid w:val="00FD45FB"/>
    <w:rsid w:val="00FD52EC"/>
    <w:rsid w:val="00FD6184"/>
    <w:rsid w:val="00FD67D1"/>
    <w:rsid w:val="00FD6E9C"/>
    <w:rsid w:val="00FD73EE"/>
    <w:rsid w:val="00FE0FF7"/>
    <w:rsid w:val="00FE194D"/>
    <w:rsid w:val="00FE1A07"/>
    <w:rsid w:val="00FE1A30"/>
    <w:rsid w:val="00FE1AE1"/>
    <w:rsid w:val="00FE1F8B"/>
    <w:rsid w:val="00FE214C"/>
    <w:rsid w:val="00FE237D"/>
    <w:rsid w:val="00FE499A"/>
    <w:rsid w:val="00FE502C"/>
    <w:rsid w:val="00FE547F"/>
    <w:rsid w:val="00FE57C8"/>
    <w:rsid w:val="00FE5B5F"/>
    <w:rsid w:val="00FE6827"/>
    <w:rsid w:val="00FE7988"/>
    <w:rsid w:val="00FE7E89"/>
    <w:rsid w:val="00FF091C"/>
    <w:rsid w:val="00FF18D5"/>
    <w:rsid w:val="00FF2C5A"/>
    <w:rsid w:val="00FF31D0"/>
    <w:rsid w:val="00FF3491"/>
    <w:rsid w:val="00FF499A"/>
    <w:rsid w:val="00FF4FDD"/>
    <w:rsid w:val="00FF51DB"/>
    <w:rsid w:val="00FF6517"/>
    <w:rsid w:val="35F9304A"/>
    <w:rsid w:val="4E6F0DB3"/>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8989143"/>
  <w15:docId w15:val="{96D68ADE-3B0D-4B51-A833-0C6D34544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qFormat="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480"/>
    <w:pPr>
      <w:spacing w:after="160" w:line="259" w:lineRule="auto"/>
    </w:pPr>
    <w:rPr>
      <w:sz w:val="22"/>
      <w:szCs w:val="22"/>
      <w:lang w:val="en-US" w:eastAsia="en-US"/>
    </w:rPr>
  </w:style>
  <w:style w:type="paragraph" w:styleId="Heading1">
    <w:name w:val="heading 1"/>
    <w:basedOn w:val="Normal"/>
    <w:next w:val="Normal"/>
    <w:link w:val="Heading1Char"/>
    <w:uiPriority w:val="9"/>
    <w:qFormat/>
    <w:pPr>
      <w:keepNext/>
      <w:keepLines/>
      <w:numPr>
        <w:numId w:val="1"/>
      </w:numPr>
      <w:spacing w:before="240" w:after="0"/>
      <w:outlineLvl w:val="0"/>
    </w:pPr>
    <w:rPr>
      <w:rFonts w:asciiTheme="majorHAnsi" w:eastAsiaTheme="majorEastAsia" w:hAnsiTheme="majorHAnsi" w:cstheme="majorBidi"/>
      <w:color w:val="1481AB"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after="0"/>
      <w:ind w:right="-144"/>
      <w:jc w:val="both"/>
      <w:outlineLvl w:val="1"/>
    </w:pPr>
    <w:rPr>
      <w:rFonts w:asciiTheme="majorHAnsi" w:eastAsiaTheme="majorEastAsia" w:hAnsiTheme="majorHAnsi" w:cstheme="majorBidi"/>
      <w:b/>
      <w:bCs/>
      <w:color w:val="000000" w:themeColor="text1"/>
      <w:sz w:val="28"/>
      <w:szCs w:val="28"/>
      <w:lang w:val="el-GR"/>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asciiTheme="majorHAnsi" w:eastAsiaTheme="majorEastAsia" w:hAnsiTheme="majorHAnsi" w:cstheme="majorBidi"/>
      <w:color w:val="0D5672" w:themeColor="accent1" w:themeShade="80"/>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1481AB"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1481AB"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0D5672"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0D5672"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pPr>
      <w:spacing w:after="200" w:line="240" w:lineRule="auto"/>
    </w:pPr>
    <w:rPr>
      <w:i/>
      <w:iCs/>
      <w:color w:val="335B74" w:themeColor="text2"/>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FollowedHyperlink">
    <w:name w:val="FollowedHyperlink"/>
    <w:basedOn w:val="DefaultParagraphFont"/>
    <w:uiPriority w:val="99"/>
    <w:semiHidden/>
    <w:unhideWhenUsed/>
    <w:rPr>
      <w:color w:val="B26B0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aliases w:val="Footnote symbol,Footnote,υποσημείωση1,Footnote Refernece,Fn Ref,Footnote Reference Superscript,Footnote reference number,note TESI,4_G,4_G Char Char Char Char,Footnotes refss Char Char Char Char,ftref Char Char Char Char,10 pt,FR"/>
    <w:basedOn w:val="DefaultParagraphFont"/>
    <w:link w:val="4GCharCharChar"/>
    <w:uiPriority w:val="99"/>
    <w:unhideWhenUsed/>
    <w:qFormat/>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pPr>
      <w:spacing w:after="0" w:line="240" w:lineRule="exact"/>
      <w:jc w:val="both"/>
    </w:pPr>
    <w:rPr>
      <w:vertAlign w:val="superscript"/>
    </w:rPr>
  </w:style>
  <w:style w:type="paragraph" w:styleId="FootnoteText">
    <w:name w:val="footnote text"/>
    <w:aliases w:val=" Char,Point 3 Char,Footnote text,ESPON Footnote Text,Schriftart: 9 pt,Schriftart: 10 pt,Schriftart: 8 pt,Κείμενο υποσημείωσης-KATERINA,Char Char Char,footnotes,Footnote Text Char2 Char,Footnote Text Char1,5_G,Fußnotentext RAXEN,fn,o"/>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styleId="Hyperlink">
    <w:name w:val="Hyperlink"/>
    <w:basedOn w:val="DefaultParagraphFont"/>
    <w:uiPriority w:val="99"/>
    <w:unhideWhenUsed/>
    <w:rPr>
      <w:color w:val="6EAC1C" w:themeColor="hyperlink"/>
      <w:u w:val="single"/>
    </w:rPr>
  </w:style>
  <w:style w:type="paragraph" w:styleId="NormalWeb">
    <w:name w:val="Normal (Web)"/>
    <w:basedOn w:val="Normal"/>
    <w:uiPriority w:val="99"/>
    <w:pPr>
      <w:spacing w:before="100" w:beforeAutospacing="1" w:after="100" w:afterAutospacing="1" w:line="240" w:lineRule="auto"/>
      <w:jc w:val="both"/>
    </w:pPr>
    <w:rPr>
      <w:rFonts w:ascii="Calibri" w:eastAsia="Times New Roman" w:hAnsi="Calibri" w:cs="Times New Roman"/>
      <w:sz w:val="24"/>
      <w:szCs w:val="24"/>
    </w:rPr>
  </w:style>
  <w:style w:type="character" w:styleId="Strong">
    <w:name w:val="Strong"/>
    <w:uiPriority w:val="22"/>
    <w:qFormat/>
    <w:rPr>
      <w:b/>
      <w:bCs/>
    </w:rPr>
  </w:style>
  <w:style w:type="paragraph" w:styleId="Subtitle">
    <w:name w:val="Subtitle"/>
    <w:basedOn w:val="Normal"/>
    <w:next w:val="Normal"/>
    <w:link w:val="SubtitleChar"/>
    <w:qFormat/>
    <w:pPr>
      <w:spacing w:line="276" w:lineRule="auto"/>
      <w:jc w:val="both"/>
    </w:pPr>
    <w:rPr>
      <w:rFonts w:eastAsiaTheme="minorEastAsia"/>
      <w:color w:val="595959" w:themeColor="text1" w:themeTint="A6"/>
      <w:spacing w:val="15"/>
      <w:lang w:val="el-GR" w:eastAsia="el-GR"/>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pPr>
      <w:spacing w:after="0"/>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uiPriority w:val="39"/>
    <w:unhideWhenUsed/>
    <w:pPr>
      <w:tabs>
        <w:tab w:val="left" w:pos="440"/>
        <w:tab w:val="right" w:leader="dot" w:pos="9203"/>
      </w:tabs>
      <w:spacing w:after="100"/>
      <w:ind w:left="426" w:hanging="426"/>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rPr>
      <w:rFonts w:eastAsiaTheme="minorEastAsia" w:cs="Times New Roman"/>
      <w:lang w:val="el-GR" w:eastAsia="el-GR"/>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1481AB"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000000" w:themeColor="text1"/>
      <w:sz w:val="28"/>
      <w:szCs w:val="28"/>
      <w:lang w:val="el-GR"/>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D5672" w:themeColor="accent1" w:themeShade="80"/>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1481AB"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481AB"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D5672"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D5672" w:themeColor="accent1" w:themeShade="8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rPr>
  </w:style>
  <w:style w:type="character" w:styleId="PlaceholderText">
    <w:name w:val="Placeholder Text"/>
    <w:basedOn w:val="DefaultParagraphFont"/>
    <w:uiPriority w:val="99"/>
    <w:semiHidden/>
    <w:rPr>
      <w:color w:val="808080"/>
    </w:rPr>
  </w:style>
  <w:style w:type="character" w:customStyle="1" w:styleId="FootnoteTextChar">
    <w:name w:val="Footnote Text Char"/>
    <w:aliases w:val=" Char Char,Point 3 Char Char,Footnote text Char,ESPON Footnote Text Char,Schriftart: 9 pt Char,Schriftart: 10 pt Char,Schriftart: 8 pt Char,Κείμενο υποσημείωσης-KATERINA Char,Char Char Char Char,footnotes Char,Footnote Text Char1 Char"/>
    <w:basedOn w:val="DefaultParagraphFont"/>
    <w:link w:val="FootnoteText"/>
    <w:uiPriority w:val="99"/>
    <w:rPr>
      <w:sz w:val="20"/>
      <w:szCs w:val="20"/>
    </w:rPr>
  </w:style>
  <w:style w:type="character" w:customStyle="1" w:styleId="10">
    <w:name w:val="Ανεπίλυτη αναφορά1"/>
    <w:basedOn w:val="DefaultParagraphFont"/>
    <w:uiPriority w:val="99"/>
    <w:semiHidden/>
    <w:unhideWhenUsed/>
    <w:rPr>
      <w:color w:val="808080"/>
      <w:shd w:val="clear" w:color="auto" w:fill="E6E6E6"/>
    </w:rPr>
  </w:style>
  <w:style w:type="paragraph" w:styleId="ListParagraph">
    <w:name w:val="List Paragraph"/>
    <w:basedOn w:val="Normal"/>
    <w:link w:val="ListParagraphChar"/>
    <w:uiPriority w:val="34"/>
    <w:qFormat/>
    <w:pPr>
      <w:ind w:left="720"/>
      <w:contextualSpacing/>
    </w:pPr>
  </w:style>
  <w:style w:type="paragraph" w:customStyle="1" w:styleId="11">
    <w:name w:val="Επικεφαλίδα ΠΠ1"/>
    <w:basedOn w:val="Heading1"/>
    <w:next w:val="Normal"/>
    <w:uiPriority w:val="39"/>
    <w:unhideWhenUsed/>
    <w:qFormat/>
    <w:pPr>
      <w:outlineLvl w:val="9"/>
    </w:pPr>
  </w:style>
  <w:style w:type="paragraph" w:customStyle="1" w:styleId="Default">
    <w:name w:val="Default"/>
    <w:pPr>
      <w:autoSpaceDE w:val="0"/>
      <w:autoSpaceDN w:val="0"/>
      <w:adjustRightInd w:val="0"/>
    </w:pPr>
    <w:rPr>
      <w:rFonts w:ascii="Book Antiqua" w:hAnsi="Book Antiqua" w:cs="Book Antiqua"/>
      <w:color w:val="000000"/>
      <w:sz w:val="24"/>
      <w:szCs w:val="24"/>
      <w:lang w:eastAsia="en-US"/>
    </w:rPr>
  </w:style>
  <w:style w:type="character" w:customStyle="1" w:styleId="2">
    <w:name w:val="Ανεπίλυτη αναφορά2"/>
    <w:basedOn w:val="DefaultParagraphFont"/>
    <w:uiPriority w:val="99"/>
    <w:semiHidden/>
    <w:unhideWhenUsed/>
    <w:rPr>
      <w:color w:val="605E5C"/>
      <w:shd w:val="clear" w:color="auto" w:fill="E1DFDD"/>
    </w:rPr>
  </w:style>
  <w:style w:type="table" w:customStyle="1" w:styleId="2-51">
    <w:name w:val="Πίνακας 2 με πλέγμα - Έμφαση 51"/>
    <w:basedOn w:val="TableNormal"/>
    <w:uiPriority w:val="47"/>
    <w:tblPr>
      <w:tblBorders>
        <w:top w:val="single" w:sz="2" w:space="0" w:color="7EC492" w:themeColor="accent5" w:themeTint="99"/>
        <w:bottom w:val="single" w:sz="2" w:space="0" w:color="7EC492" w:themeColor="accent5" w:themeTint="99"/>
        <w:insideH w:val="single" w:sz="2" w:space="0" w:color="7EC492" w:themeColor="accent5" w:themeTint="99"/>
        <w:insideV w:val="single" w:sz="2" w:space="0" w:color="7EC492" w:themeColor="accent5" w:themeTint="99"/>
      </w:tblBorders>
    </w:tblPr>
    <w:tblStylePr w:type="firstRow">
      <w:rPr>
        <w:b/>
        <w:bCs/>
      </w:rPr>
      <w:tblPr/>
      <w:tcPr>
        <w:tcBorders>
          <w:top w:val="nil"/>
          <w:bottom w:val="single" w:sz="12" w:space="0" w:color="7EC492" w:themeColor="accent5" w:themeTint="99"/>
          <w:insideH w:val="nil"/>
          <w:insideV w:val="nil"/>
        </w:tcBorders>
        <w:shd w:val="clear" w:color="auto" w:fill="FFFFFF" w:themeFill="background1"/>
      </w:tcPr>
    </w:tblStylePr>
    <w:tblStylePr w:type="lastRow">
      <w:rPr>
        <w:b/>
        <w:bCs/>
      </w:rPr>
      <w:tblPr/>
      <w:tcPr>
        <w:tcBorders>
          <w:top w:val="double" w:sz="2" w:space="0" w:color="7EC4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customStyle="1" w:styleId="1-21">
    <w:name w:val="Πίνακας 1 με ανοιχτόχρωμο πλέγμα - Έμφαση 21"/>
    <w:basedOn w:val="TableNormal"/>
    <w:uiPriority w:val="46"/>
    <w:tblPr>
      <w:tblBorders>
        <w:top w:val="single" w:sz="4" w:space="0" w:color="A3CEED" w:themeColor="accent2" w:themeTint="66"/>
        <w:left w:val="single" w:sz="4" w:space="0" w:color="A3CEED" w:themeColor="accent2" w:themeTint="66"/>
        <w:bottom w:val="single" w:sz="4" w:space="0" w:color="A3CEED" w:themeColor="accent2" w:themeTint="66"/>
        <w:right w:val="single" w:sz="4" w:space="0" w:color="A3CEED" w:themeColor="accent2" w:themeTint="66"/>
        <w:insideH w:val="single" w:sz="4" w:space="0" w:color="A3CEED" w:themeColor="accent2" w:themeTint="66"/>
        <w:insideV w:val="single" w:sz="4" w:space="0" w:color="A3CEED" w:themeColor="accent2" w:themeTint="66"/>
      </w:tblBorders>
    </w:tblPr>
    <w:tblStylePr w:type="firstRow">
      <w:rPr>
        <w:b/>
        <w:bCs/>
      </w:rPr>
      <w:tblPr/>
      <w:tcPr>
        <w:tcBorders>
          <w:bottom w:val="single" w:sz="12" w:space="0" w:color="74B5E4" w:themeColor="accent2" w:themeTint="99"/>
        </w:tcBorders>
      </w:tcPr>
    </w:tblStylePr>
    <w:tblStylePr w:type="lastRow">
      <w:rPr>
        <w:b/>
        <w:bCs/>
      </w:rPr>
      <w:tblPr/>
      <w:tcPr>
        <w:tcBorders>
          <w:top w:val="double" w:sz="2" w:space="0" w:color="74B5E4" w:themeColor="accent2" w:themeTint="99"/>
        </w:tcBorders>
      </w:tcPr>
    </w:tblStylePr>
    <w:tblStylePr w:type="firstCol">
      <w:rPr>
        <w:b/>
        <w:bCs/>
      </w:rPr>
    </w:tblStylePr>
    <w:tblStylePr w:type="lastCol">
      <w:rPr>
        <w:b/>
        <w:bCs/>
      </w:rPr>
    </w:tblStyle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customStyle="1" w:styleId="110">
    <w:name w:val="Απλός πίνακας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Απλός πίνακας 51"/>
    <w:basedOn w:val="TableNormal"/>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4-61">
    <w:name w:val="Πίνακας 4 με πλέγμα - Έμφαση 61"/>
    <w:basedOn w:val="TableNormal"/>
    <w:uiPriority w:val="49"/>
    <w:tblPr>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character" w:customStyle="1" w:styleId="st">
    <w:name w:val="st"/>
    <w:basedOn w:val="DefaultParagraphFont"/>
  </w:style>
  <w:style w:type="table" w:customStyle="1" w:styleId="4-41">
    <w:name w:val="Πίνακας 4 με πλέγμα - Έμφαση 41"/>
    <w:basedOn w:val="TableNormal"/>
    <w:uiPriority w:val="49"/>
    <w:tblPr>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5-21">
    <w:name w:val="Πίνακας 5 με σκούρο πλέγμα - Έμφαση 2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2"/>
      </w:tcPr>
    </w:tblStylePr>
    <w:tblStylePr w:type="band1Vert">
      <w:tblPr/>
      <w:tcPr>
        <w:shd w:val="clear" w:color="auto" w:fill="A3CEED" w:themeFill="accent2" w:themeFillTint="66"/>
      </w:tcPr>
    </w:tblStylePr>
    <w:tblStylePr w:type="band1Horz">
      <w:tblPr/>
      <w:tcPr>
        <w:shd w:val="clear" w:color="auto" w:fill="A3CEED" w:themeFill="accent2" w:themeFillTint="66"/>
      </w:tcPr>
    </w:tblStylePr>
  </w:style>
  <w:style w:type="table" w:customStyle="1" w:styleId="1-31">
    <w:name w:val="Πίνακας 1 με ανοιχτόχρωμο πλέγμα - Έμφαση 31"/>
    <w:basedOn w:val="TableNormal"/>
    <w:uiPriority w:val="46"/>
    <w:tblPr>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l-GR" w:eastAsia="el-GR"/>
    </w:rPr>
  </w:style>
  <w:style w:type="character" w:customStyle="1" w:styleId="smalltext">
    <w:name w:val="smalltext"/>
    <w:basedOn w:val="DefaultParagraphFont"/>
  </w:style>
  <w:style w:type="table" w:customStyle="1" w:styleId="111">
    <w:name w:val="Πίνακας 1 με ανοιχτόχρωμο πλέγμα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3">
    <w:name w:val="Ανεπίλυτη αναφορά3"/>
    <w:basedOn w:val="DefaultParagraphFont"/>
    <w:uiPriority w:val="99"/>
    <w:semiHidden/>
    <w:unhideWhenUsed/>
    <w:rPr>
      <w:color w:val="605E5C"/>
      <w:shd w:val="clear" w:color="auto" w:fill="E1DFDD"/>
    </w:rPr>
  </w:style>
  <w:style w:type="character" w:customStyle="1" w:styleId="tlid-translation">
    <w:name w:val="tlid-translation"/>
    <w:basedOn w:val="DefaultParagraphFont"/>
  </w:style>
  <w:style w:type="table" w:customStyle="1" w:styleId="21">
    <w:name w:val="Απλός πίνακας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2">
    <w:name w:val="Αναθεώρηση1"/>
    <w:hidden/>
    <w:uiPriority w:val="99"/>
    <w:semiHidden/>
    <w:rPr>
      <w:sz w:val="22"/>
      <w:szCs w:val="22"/>
      <w:lang w:val="en-US" w:eastAsia="en-US"/>
    </w:rPr>
  </w:style>
  <w:style w:type="character" w:customStyle="1" w:styleId="ListParagraphChar">
    <w:name w:val="List Paragraph Char"/>
    <w:basedOn w:val="DefaultParagraphFont"/>
    <w:link w:val="ListParagraph"/>
    <w:uiPriority w:val="34"/>
  </w:style>
  <w:style w:type="character" w:customStyle="1" w:styleId="SubtitleChar">
    <w:name w:val="Subtitle Char"/>
    <w:basedOn w:val="DefaultParagraphFont"/>
    <w:link w:val="Subtitle"/>
    <w:rPr>
      <w:rFonts w:eastAsiaTheme="minorEastAsia"/>
      <w:color w:val="595959" w:themeColor="text1" w:themeTint="A6"/>
      <w:spacing w:val="15"/>
      <w:lang w:val="el-GR" w:eastAsia="el-GR"/>
    </w:rPr>
  </w:style>
  <w:style w:type="paragraph" w:styleId="NoSpacing">
    <w:name w:val="No Spacing"/>
    <w:link w:val="NoSpacingChar"/>
    <w:uiPriority w:val="1"/>
    <w:qFormat/>
    <w:rPr>
      <w:rFonts w:ascii="Times New Roman" w:eastAsia="Times New Roman" w:hAnsi="Times New Roman" w:cs="Times New Roman"/>
      <w:sz w:val="22"/>
      <w:szCs w:val="22"/>
      <w:lang w:val="fr-BE" w:eastAsia="en-US"/>
    </w:rPr>
  </w:style>
  <w:style w:type="character" w:customStyle="1" w:styleId="markedcontent">
    <w:name w:val="markedcontent"/>
    <w:basedOn w:val="DefaultParagraphFont"/>
  </w:style>
  <w:style w:type="character" w:customStyle="1" w:styleId="4">
    <w:name w:val="Ανεπίλυτη αναφορά4"/>
    <w:basedOn w:val="DefaultParagraphFont"/>
    <w:uiPriority w:val="99"/>
    <w:semiHidden/>
    <w:unhideWhenUsed/>
    <w:rPr>
      <w:color w:val="605E5C"/>
      <w:shd w:val="clear" w:color="auto" w:fill="E1DFDD"/>
    </w:rPr>
  </w:style>
  <w:style w:type="character" w:customStyle="1" w:styleId="5">
    <w:name w:val="Ανεπίλυτη αναφορά5"/>
    <w:basedOn w:val="DefaultParagraphFont"/>
    <w:uiPriority w:val="99"/>
    <w:semiHidden/>
    <w:unhideWhenUsed/>
    <w:rPr>
      <w:color w:val="605E5C"/>
      <w:shd w:val="clear" w:color="auto" w:fill="E1DFDD"/>
    </w:rPr>
  </w:style>
  <w:style w:type="character" w:customStyle="1" w:styleId="pg-2ff2">
    <w:name w:val="pg-2ff2"/>
    <w:basedOn w:val="DefaultParagraphFont"/>
    <w:rsid w:val="00FE499A"/>
  </w:style>
  <w:style w:type="character" w:customStyle="1" w:styleId="a">
    <w:name w:val="_"/>
    <w:basedOn w:val="DefaultParagraphFont"/>
    <w:rsid w:val="00FE499A"/>
  </w:style>
  <w:style w:type="character" w:customStyle="1" w:styleId="pg-2ff3">
    <w:name w:val="pg-2ff3"/>
    <w:basedOn w:val="DefaultParagraphFont"/>
    <w:rsid w:val="00FE499A"/>
  </w:style>
  <w:style w:type="character" w:styleId="UnresolvedMention">
    <w:name w:val="Unresolved Mention"/>
    <w:basedOn w:val="DefaultParagraphFont"/>
    <w:uiPriority w:val="99"/>
    <w:semiHidden/>
    <w:unhideWhenUsed/>
    <w:rsid w:val="005F7E7A"/>
    <w:rPr>
      <w:color w:val="605E5C"/>
      <w:shd w:val="clear" w:color="auto" w:fill="E1DFDD"/>
    </w:rPr>
  </w:style>
  <w:style w:type="character" w:styleId="PageNumber">
    <w:name w:val="page number"/>
    <w:basedOn w:val="DefaultParagraphFont"/>
    <w:uiPriority w:val="99"/>
    <w:semiHidden/>
    <w:unhideWhenUsed/>
    <w:rsid w:val="00D25661"/>
  </w:style>
  <w:style w:type="paragraph" w:customStyle="1" w:styleId="13">
    <w:name w:val="Βασικό1"/>
    <w:rsid w:val="00AF3479"/>
    <w:pPr>
      <w:spacing w:before="100" w:beforeAutospacing="1" w:after="100" w:afterAutospacing="1" w:line="256" w:lineRule="auto"/>
    </w:pPr>
    <w:rPr>
      <w:rFonts w:ascii="Aptos" w:eastAsia="Times New Roman" w:hAnsi="Aptos" w:cs="Times New Roman"/>
      <w:sz w:val="24"/>
      <w:szCs w:val="24"/>
    </w:rPr>
  </w:style>
  <w:style w:type="character" w:customStyle="1" w:styleId="hgkelc">
    <w:name w:val="hgkelc"/>
    <w:basedOn w:val="DefaultParagraphFont"/>
    <w:rsid w:val="00AF3479"/>
  </w:style>
  <w:style w:type="character" w:customStyle="1" w:styleId="hidden">
    <w:name w:val="hidden"/>
    <w:basedOn w:val="DefaultParagraphFont"/>
    <w:rsid w:val="00464451"/>
  </w:style>
  <w:style w:type="character" w:customStyle="1" w:styleId="y2iqfc">
    <w:name w:val="y2iqfc"/>
    <w:basedOn w:val="DefaultParagraphFont"/>
    <w:rsid w:val="003A55E1"/>
  </w:style>
  <w:style w:type="character" w:customStyle="1" w:styleId="NoSpacingChar">
    <w:name w:val="No Spacing Char"/>
    <w:basedOn w:val="DefaultParagraphFont"/>
    <w:link w:val="NoSpacing"/>
    <w:uiPriority w:val="1"/>
    <w:rsid w:val="00375C70"/>
    <w:rPr>
      <w:rFonts w:ascii="Times New Roman" w:eastAsia="Times New Roman" w:hAnsi="Times New Roman" w:cs="Times New Roman"/>
      <w:sz w:val="22"/>
      <w:szCs w:val="22"/>
      <w:lang w:val="fr-BE" w:eastAsia="en-US"/>
    </w:rPr>
  </w:style>
  <w:style w:type="numbering" w:customStyle="1" w:styleId="1">
    <w:name w:val="Στυλ1"/>
    <w:uiPriority w:val="99"/>
    <w:rsid w:val="003677F5"/>
    <w:pPr>
      <w:numPr>
        <w:numId w:val="20"/>
      </w:numPr>
    </w:pPr>
  </w:style>
  <w:style w:type="paragraph" w:styleId="ListBullet">
    <w:name w:val="List Bullet"/>
    <w:basedOn w:val="Normal"/>
    <w:uiPriority w:val="99"/>
    <w:unhideWhenUsed/>
    <w:rsid w:val="00FE5B5F"/>
    <w:pPr>
      <w:numPr>
        <w:numId w:val="29"/>
      </w:numPr>
      <w:spacing w:after="200" w:line="276" w:lineRule="auto"/>
      <w:contextualSpacing/>
    </w:pPr>
    <w:rPr>
      <w:rFonts w:eastAsiaTheme="minorEastAsia"/>
    </w:rPr>
  </w:style>
  <w:style w:type="table" w:styleId="MediumGrid2-Accent4">
    <w:name w:val="Medium Grid 2 Accent 4"/>
    <w:basedOn w:val="TableNormal"/>
    <w:uiPriority w:val="68"/>
    <w:rsid w:val="00FE5B5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2BA97" w:themeColor="accent4"/>
        <w:left w:val="single" w:sz="8" w:space="0" w:color="42BA97" w:themeColor="accent4"/>
        <w:bottom w:val="single" w:sz="8" w:space="0" w:color="42BA97" w:themeColor="accent4"/>
        <w:right w:val="single" w:sz="8" w:space="0" w:color="42BA97" w:themeColor="accent4"/>
        <w:insideH w:val="single" w:sz="8" w:space="0" w:color="42BA97" w:themeColor="accent4"/>
        <w:insideV w:val="single" w:sz="8" w:space="0" w:color="42BA97" w:themeColor="accent4"/>
      </w:tblBorders>
    </w:tblPr>
    <w:tcPr>
      <w:shd w:val="clear" w:color="auto" w:fill="CFEEE5" w:themeFill="accent4" w:themeFillTint="3F"/>
    </w:tcPr>
    <w:tblStylePr w:type="firstRow">
      <w:rPr>
        <w:b/>
        <w:bCs/>
        <w:color w:val="000000" w:themeColor="text1"/>
      </w:rPr>
      <w:tblPr/>
      <w:tcPr>
        <w:shd w:val="clear" w:color="auto" w:fill="ECF8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F1EA" w:themeFill="accent4" w:themeFillTint="33"/>
      </w:tcPr>
    </w:tblStylePr>
    <w:tblStylePr w:type="band1Vert">
      <w:tblPr/>
      <w:tcPr>
        <w:shd w:val="clear" w:color="auto" w:fill="A0DDCB" w:themeFill="accent4" w:themeFillTint="7F"/>
      </w:tcPr>
    </w:tblStylePr>
    <w:tblStylePr w:type="band1Horz">
      <w:tblPr/>
      <w:tcPr>
        <w:tcBorders>
          <w:insideH w:val="single" w:sz="6" w:space="0" w:color="42BA97" w:themeColor="accent4"/>
          <w:insideV w:val="single" w:sz="6" w:space="0" w:color="42BA97" w:themeColor="accent4"/>
        </w:tcBorders>
        <w:shd w:val="clear" w:color="auto" w:fill="A0DDCB" w:themeFill="accent4" w:themeFillTint="7F"/>
      </w:tcPr>
    </w:tblStylePr>
    <w:tblStylePr w:type="nwCell">
      <w:tblPr/>
      <w:tcPr>
        <w:shd w:val="clear" w:color="auto" w:fill="FFFFFF" w:themeFill="background1"/>
      </w:tcPr>
    </w:tblStylePr>
  </w:style>
  <w:style w:type="table" w:styleId="ListTable1Light-Accent2">
    <w:name w:val="List Table 1 Light Accent 2"/>
    <w:basedOn w:val="TableNormal"/>
    <w:uiPriority w:val="46"/>
    <w:rsid w:val="00FE5B5F"/>
    <w:tblPr>
      <w:tblStyleRowBandSize w:val="1"/>
      <w:tblStyleColBandSize w:val="1"/>
    </w:tblPr>
    <w:tblStylePr w:type="firstRow">
      <w:rPr>
        <w:b/>
        <w:bCs/>
      </w:rPr>
      <w:tblPr/>
      <w:tcPr>
        <w:tcBorders>
          <w:bottom w:val="single" w:sz="4" w:space="0" w:color="74B5E4" w:themeColor="accent2" w:themeTint="99"/>
        </w:tcBorders>
      </w:tcPr>
    </w:tblStylePr>
    <w:tblStylePr w:type="lastRow">
      <w:rPr>
        <w:b/>
        <w:bCs/>
      </w:rPr>
      <w:tblPr/>
      <w:tcPr>
        <w:tcBorders>
          <w:top w:val="single" w:sz="4" w:space="0" w:color="74B5E4" w:themeColor="accent2" w:themeTint="99"/>
        </w:tcBorders>
      </w:tc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 w:type="table" w:styleId="ListTable4-Accent4">
    <w:name w:val="List Table 4 Accent 4"/>
    <w:basedOn w:val="TableNormal"/>
    <w:uiPriority w:val="49"/>
    <w:rsid w:val="00FE5B5F"/>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tcBorders>
        <w:shd w:val="clear" w:color="auto" w:fill="42BA97" w:themeFill="accent4"/>
      </w:tcPr>
    </w:tblStylePr>
    <w:tblStylePr w:type="lastRow">
      <w:rPr>
        <w:b/>
        <w:bCs/>
      </w:rPr>
      <w:tblPr/>
      <w:tcPr>
        <w:tcBorders>
          <w:top w:val="double" w:sz="4" w:space="0" w:color="8CD6C0" w:themeColor="accent4" w:themeTint="99"/>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styleId="ListTable3-Accent4">
    <w:name w:val="List Table 3 Accent 4"/>
    <w:basedOn w:val="TableNormal"/>
    <w:uiPriority w:val="48"/>
    <w:rsid w:val="00FE5B5F"/>
    <w:tblPr>
      <w:tblStyleRowBandSize w:val="1"/>
      <w:tblStyleColBandSize w:val="1"/>
      <w:tblBorders>
        <w:top w:val="single" w:sz="4" w:space="0" w:color="42BA97" w:themeColor="accent4"/>
        <w:left w:val="single" w:sz="4" w:space="0" w:color="42BA97" w:themeColor="accent4"/>
        <w:bottom w:val="single" w:sz="4" w:space="0" w:color="42BA97" w:themeColor="accent4"/>
        <w:right w:val="single" w:sz="4" w:space="0" w:color="42BA97" w:themeColor="accent4"/>
      </w:tblBorders>
    </w:tblPr>
    <w:tblStylePr w:type="firstRow">
      <w:rPr>
        <w:b/>
        <w:bCs/>
        <w:color w:val="FFFFFF" w:themeColor="background1"/>
      </w:rPr>
      <w:tblPr/>
      <w:tcPr>
        <w:shd w:val="clear" w:color="auto" w:fill="42BA97" w:themeFill="accent4"/>
      </w:tcPr>
    </w:tblStylePr>
    <w:tblStylePr w:type="lastRow">
      <w:rPr>
        <w:b/>
        <w:bCs/>
      </w:rPr>
      <w:tblPr/>
      <w:tcPr>
        <w:tcBorders>
          <w:top w:val="double" w:sz="4" w:space="0" w:color="42BA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2BA97" w:themeColor="accent4"/>
          <w:right w:val="single" w:sz="4" w:space="0" w:color="42BA97" w:themeColor="accent4"/>
        </w:tcBorders>
      </w:tcPr>
    </w:tblStylePr>
    <w:tblStylePr w:type="band1Horz">
      <w:tblPr/>
      <w:tcPr>
        <w:tcBorders>
          <w:top w:val="single" w:sz="4" w:space="0" w:color="42BA97" w:themeColor="accent4"/>
          <w:bottom w:val="single" w:sz="4" w:space="0" w:color="42BA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2BA97" w:themeColor="accent4"/>
          <w:left w:val="nil"/>
        </w:tcBorders>
      </w:tcPr>
    </w:tblStylePr>
    <w:tblStylePr w:type="swCell">
      <w:tblPr/>
      <w:tcPr>
        <w:tcBorders>
          <w:top w:val="double" w:sz="4" w:space="0" w:color="42BA97" w:themeColor="accent4"/>
          <w:right w:val="nil"/>
        </w:tcBorders>
      </w:tcPr>
    </w:tblStylePr>
  </w:style>
  <w:style w:type="table" w:styleId="GridTable1Light-Accent2">
    <w:name w:val="Grid Table 1 Light Accent 2"/>
    <w:basedOn w:val="TableNormal"/>
    <w:uiPriority w:val="46"/>
    <w:rsid w:val="00342280"/>
    <w:rPr>
      <w:kern w:val="2"/>
      <w:sz w:val="22"/>
      <w:szCs w:val="22"/>
      <w:lang w:val="de-DE" w:eastAsia="en-US"/>
      <w14:ligatures w14:val="standardContextual"/>
    </w:rPr>
    <w:tblPr>
      <w:tblStyleRowBandSize w:val="1"/>
      <w:tblStyleColBandSize w:val="1"/>
      <w:tblBorders>
        <w:top w:val="single" w:sz="4" w:space="0" w:color="A3CEED" w:themeColor="accent2" w:themeTint="66"/>
        <w:left w:val="single" w:sz="4" w:space="0" w:color="A3CEED" w:themeColor="accent2" w:themeTint="66"/>
        <w:bottom w:val="single" w:sz="4" w:space="0" w:color="A3CEED" w:themeColor="accent2" w:themeTint="66"/>
        <w:right w:val="single" w:sz="4" w:space="0" w:color="A3CEED" w:themeColor="accent2" w:themeTint="66"/>
        <w:insideH w:val="single" w:sz="4" w:space="0" w:color="A3CEED" w:themeColor="accent2" w:themeTint="66"/>
        <w:insideV w:val="single" w:sz="4" w:space="0" w:color="A3CEED" w:themeColor="accent2" w:themeTint="66"/>
      </w:tblBorders>
    </w:tblPr>
    <w:tblStylePr w:type="firstRow">
      <w:rPr>
        <w:b/>
        <w:bCs/>
      </w:rPr>
      <w:tblPr/>
      <w:tcPr>
        <w:tcBorders>
          <w:bottom w:val="single" w:sz="12" w:space="0" w:color="74B5E4" w:themeColor="accent2" w:themeTint="99"/>
        </w:tcBorders>
      </w:tcPr>
    </w:tblStylePr>
    <w:tblStylePr w:type="lastRow">
      <w:rPr>
        <w:b/>
        <w:bCs/>
      </w:rPr>
      <w:tblPr/>
      <w:tcPr>
        <w:tcBorders>
          <w:top w:val="double" w:sz="2" w:space="0" w:color="74B5E4" w:themeColor="accent2" w:themeTint="99"/>
        </w:tcBorders>
      </w:tcPr>
    </w:tblStylePr>
    <w:tblStylePr w:type="firstCol">
      <w:rPr>
        <w:b/>
        <w:bCs/>
      </w:rPr>
    </w:tblStylePr>
    <w:tblStylePr w:type="lastCol">
      <w:rPr>
        <w:b/>
        <w:bCs/>
      </w:rPr>
    </w:tblStylePr>
  </w:style>
  <w:style w:type="table" w:customStyle="1" w:styleId="14">
    <w:name w:val="Πλέγμα πίνακα1"/>
    <w:basedOn w:val="TableNormal"/>
    <w:next w:val="TableGrid"/>
    <w:uiPriority w:val="39"/>
    <w:rsid w:val="00A63CF4"/>
    <w:rPr>
      <w:kern w:val="2"/>
      <w:sz w:val="22"/>
      <w:szCs w:val="22"/>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977213"/>
    <w:rPr>
      <w:sz w:val="22"/>
      <w:szCs w:val="22"/>
      <w:lang w:val="en-US" w:eastAsia="en-US"/>
    </w:rPr>
  </w:style>
  <w:style w:type="paragraph" w:styleId="TOCHeading">
    <w:name w:val="TOC Heading"/>
    <w:basedOn w:val="Heading1"/>
    <w:next w:val="Normal"/>
    <w:uiPriority w:val="39"/>
    <w:unhideWhenUsed/>
    <w:qFormat/>
    <w:rsid w:val="00C761A3"/>
    <w:pPr>
      <w:numPr>
        <w:numId w:val="0"/>
      </w:numPr>
      <w:outlineLvl w:val="9"/>
    </w:pPr>
    <w:rPr>
      <w:lang w:val="de-DE" w:eastAsia="de-DE"/>
    </w:rPr>
  </w:style>
  <w:style w:type="table" w:styleId="ListTable3-Accent6">
    <w:name w:val="List Table 3 Accent 6"/>
    <w:basedOn w:val="TableNormal"/>
    <w:uiPriority w:val="48"/>
    <w:rsid w:val="00080F8C"/>
    <w:tblPr>
      <w:tblStyleRowBandSize w:val="1"/>
      <w:tblStyleColBandSize w:val="1"/>
      <w:tblBorders>
        <w:top w:val="single" w:sz="4" w:space="0" w:color="62A39F" w:themeColor="accent6"/>
        <w:left w:val="single" w:sz="4" w:space="0" w:color="62A39F" w:themeColor="accent6"/>
        <w:bottom w:val="single" w:sz="4" w:space="0" w:color="62A39F" w:themeColor="accent6"/>
        <w:right w:val="single" w:sz="4" w:space="0" w:color="62A39F" w:themeColor="accent6"/>
      </w:tblBorders>
    </w:tblPr>
    <w:tblStylePr w:type="firstRow">
      <w:rPr>
        <w:b/>
        <w:bCs/>
        <w:color w:val="FFFFFF" w:themeColor="background1"/>
      </w:rPr>
      <w:tblPr/>
      <w:tcPr>
        <w:shd w:val="clear" w:color="auto" w:fill="62A39F" w:themeFill="accent6"/>
      </w:tcPr>
    </w:tblStylePr>
    <w:tblStylePr w:type="lastRow">
      <w:rPr>
        <w:b/>
        <w:bCs/>
      </w:rPr>
      <w:tblPr/>
      <w:tcPr>
        <w:tcBorders>
          <w:top w:val="double" w:sz="4" w:space="0" w:color="62A39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A39F" w:themeColor="accent6"/>
          <w:right w:val="single" w:sz="4" w:space="0" w:color="62A39F" w:themeColor="accent6"/>
        </w:tcBorders>
      </w:tcPr>
    </w:tblStylePr>
    <w:tblStylePr w:type="band1Horz">
      <w:tblPr/>
      <w:tcPr>
        <w:tcBorders>
          <w:top w:val="single" w:sz="4" w:space="0" w:color="62A39F" w:themeColor="accent6"/>
          <w:bottom w:val="single" w:sz="4" w:space="0" w:color="62A39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A39F" w:themeColor="accent6"/>
          <w:left w:val="nil"/>
        </w:tcBorders>
      </w:tcPr>
    </w:tblStylePr>
    <w:tblStylePr w:type="swCell">
      <w:tblPr/>
      <w:tcPr>
        <w:tcBorders>
          <w:top w:val="double" w:sz="4" w:space="0" w:color="62A39F" w:themeColor="accent6"/>
          <w:right w:val="nil"/>
        </w:tcBorders>
      </w:tcPr>
    </w:tblStylePr>
  </w:style>
  <w:style w:type="table" w:styleId="TableGridLight">
    <w:name w:val="Grid Table Light"/>
    <w:basedOn w:val="TableNormal"/>
    <w:uiPriority w:val="40"/>
    <w:rsid w:val="00BC1366"/>
    <w:rPr>
      <w:kern w:val="2"/>
      <w:sz w:val="22"/>
      <w:szCs w:val="22"/>
      <w:lang w:val="de-DE"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5">
    <w:name w:val="Grid Table 1 Light Accent 5"/>
    <w:basedOn w:val="TableNormal"/>
    <w:uiPriority w:val="46"/>
    <w:rsid w:val="00824DC6"/>
    <w:rPr>
      <w:kern w:val="2"/>
      <w:sz w:val="22"/>
      <w:szCs w:val="22"/>
      <w:lang w:val="de-DE" w:eastAsia="en-US"/>
      <w14:ligatures w14:val="standardContextual"/>
    </w:r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3D5A"/>
    <w:tblPr>
      <w:tblStyleRowBandSize w:val="1"/>
      <w:tblStyleColBandSize w:val="1"/>
      <w:tblBorders>
        <w:top w:val="single" w:sz="4" w:space="0" w:color="C0DAD8" w:themeColor="accent6" w:themeTint="66"/>
        <w:left w:val="single" w:sz="4" w:space="0" w:color="C0DAD8" w:themeColor="accent6" w:themeTint="66"/>
        <w:bottom w:val="single" w:sz="4" w:space="0" w:color="C0DAD8" w:themeColor="accent6" w:themeTint="66"/>
        <w:right w:val="single" w:sz="4" w:space="0" w:color="C0DAD8" w:themeColor="accent6" w:themeTint="66"/>
        <w:insideH w:val="single" w:sz="4" w:space="0" w:color="C0DAD8" w:themeColor="accent6" w:themeTint="66"/>
        <w:insideV w:val="single" w:sz="4" w:space="0" w:color="C0DAD8" w:themeColor="accent6" w:themeTint="66"/>
      </w:tblBorders>
    </w:tblPr>
    <w:tblStylePr w:type="firstRow">
      <w:rPr>
        <w:b/>
        <w:bCs/>
      </w:rPr>
      <w:tblPr/>
      <w:tcPr>
        <w:tcBorders>
          <w:bottom w:val="single" w:sz="12" w:space="0" w:color="A0C7C5" w:themeColor="accent6" w:themeTint="99"/>
        </w:tcBorders>
      </w:tcPr>
    </w:tblStylePr>
    <w:tblStylePr w:type="lastRow">
      <w:rPr>
        <w:b/>
        <w:bCs/>
      </w:rPr>
      <w:tblPr/>
      <w:tcPr>
        <w:tcBorders>
          <w:top w:val="double" w:sz="2" w:space="0" w:color="A0C7C5" w:themeColor="accent6"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8F60CC"/>
    <w:rPr>
      <w:kern w:val="2"/>
      <w:sz w:val="22"/>
      <w:szCs w:val="22"/>
      <w:lang w:val="de-DE"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8663">
      <w:bodyDiv w:val="1"/>
      <w:marLeft w:val="0"/>
      <w:marRight w:val="0"/>
      <w:marTop w:val="0"/>
      <w:marBottom w:val="0"/>
      <w:divBdr>
        <w:top w:val="none" w:sz="0" w:space="0" w:color="auto"/>
        <w:left w:val="none" w:sz="0" w:space="0" w:color="auto"/>
        <w:bottom w:val="none" w:sz="0" w:space="0" w:color="auto"/>
        <w:right w:val="none" w:sz="0" w:space="0" w:color="auto"/>
      </w:divBdr>
    </w:div>
    <w:div w:id="89208590">
      <w:bodyDiv w:val="1"/>
      <w:marLeft w:val="0"/>
      <w:marRight w:val="0"/>
      <w:marTop w:val="0"/>
      <w:marBottom w:val="0"/>
      <w:divBdr>
        <w:top w:val="none" w:sz="0" w:space="0" w:color="auto"/>
        <w:left w:val="none" w:sz="0" w:space="0" w:color="auto"/>
        <w:bottom w:val="none" w:sz="0" w:space="0" w:color="auto"/>
        <w:right w:val="none" w:sz="0" w:space="0" w:color="auto"/>
      </w:divBdr>
    </w:div>
    <w:div w:id="161354455">
      <w:bodyDiv w:val="1"/>
      <w:marLeft w:val="0"/>
      <w:marRight w:val="0"/>
      <w:marTop w:val="0"/>
      <w:marBottom w:val="0"/>
      <w:divBdr>
        <w:top w:val="none" w:sz="0" w:space="0" w:color="auto"/>
        <w:left w:val="none" w:sz="0" w:space="0" w:color="auto"/>
        <w:bottom w:val="none" w:sz="0" w:space="0" w:color="auto"/>
        <w:right w:val="none" w:sz="0" w:space="0" w:color="auto"/>
      </w:divBdr>
    </w:div>
    <w:div w:id="344328840">
      <w:bodyDiv w:val="1"/>
      <w:marLeft w:val="0"/>
      <w:marRight w:val="0"/>
      <w:marTop w:val="0"/>
      <w:marBottom w:val="0"/>
      <w:divBdr>
        <w:top w:val="none" w:sz="0" w:space="0" w:color="auto"/>
        <w:left w:val="none" w:sz="0" w:space="0" w:color="auto"/>
        <w:bottom w:val="none" w:sz="0" w:space="0" w:color="auto"/>
        <w:right w:val="none" w:sz="0" w:space="0" w:color="auto"/>
      </w:divBdr>
    </w:div>
    <w:div w:id="378632720">
      <w:bodyDiv w:val="1"/>
      <w:marLeft w:val="0"/>
      <w:marRight w:val="0"/>
      <w:marTop w:val="0"/>
      <w:marBottom w:val="0"/>
      <w:divBdr>
        <w:top w:val="none" w:sz="0" w:space="0" w:color="auto"/>
        <w:left w:val="none" w:sz="0" w:space="0" w:color="auto"/>
        <w:bottom w:val="none" w:sz="0" w:space="0" w:color="auto"/>
        <w:right w:val="none" w:sz="0" w:space="0" w:color="auto"/>
      </w:divBdr>
    </w:div>
    <w:div w:id="447550915">
      <w:bodyDiv w:val="1"/>
      <w:marLeft w:val="0"/>
      <w:marRight w:val="0"/>
      <w:marTop w:val="0"/>
      <w:marBottom w:val="0"/>
      <w:divBdr>
        <w:top w:val="none" w:sz="0" w:space="0" w:color="auto"/>
        <w:left w:val="none" w:sz="0" w:space="0" w:color="auto"/>
        <w:bottom w:val="none" w:sz="0" w:space="0" w:color="auto"/>
        <w:right w:val="none" w:sz="0" w:space="0" w:color="auto"/>
      </w:divBdr>
    </w:div>
    <w:div w:id="784617957">
      <w:bodyDiv w:val="1"/>
      <w:marLeft w:val="0"/>
      <w:marRight w:val="0"/>
      <w:marTop w:val="0"/>
      <w:marBottom w:val="0"/>
      <w:divBdr>
        <w:top w:val="none" w:sz="0" w:space="0" w:color="auto"/>
        <w:left w:val="none" w:sz="0" w:space="0" w:color="auto"/>
        <w:bottom w:val="none" w:sz="0" w:space="0" w:color="auto"/>
        <w:right w:val="none" w:sz="0" w:space="0" w:color="auto"/>
      </w:divBdr>
    </w:div>
    <w:div w:id="953514491">
      <w:bodyDiv w:val="1"/>
      <w:marLeft w:val="0"/>
      <w:marRight w:val="0"/>
      <w:marTop w:val="0"/>
      <w:marBottom w:val="0"/>
      <w:divBdr>
        <w:top w:val="none" w:sz="0" w:space="0" w:color="auto"/>
        <w:left w:val="none" w:sz="0" w:space="0" w:color="auto"/>
        <w:bottom w:val="none" w:sz="0" w:space="0" w:color="auto"/>
        <w:right w:val="none" w:sz="0" w:space="0" w:color="auto"/>
      </w:divBdr>
      <w:divsChild>
        <w:div w:id="1983920713">
          <w:marLeft w:val="0"/>
          <w:marRight w:val="0"/>
          <w:marTop w:val="0"/>
          <w:marBottom w:val="0"/>
          <w:divBdr>
            <w:top w:val="none" w:sz="0" w:space="0" w:color="auto"/>
            <w:left w:val="none" w:sz="0" w:space="0" w:color="auto"/>
            <w:bottom w:val="none" w:sz="0" w:space="0" w:color="auto"/>
            <w:right w:val="none" w:sz="0" w:space="0" w:color="auto"/>
          </w:divBdr>
        </w:div>
        <w:div w:id="428694692">
          <w:marLeft w:val="0"/>
          <w:marRight w:val="0"/>
          <w:marTop w:val="0"/>
          <w:marBottom w:val="0"/>
          <w:divBdr>
            <w:top w:val="none" w:sz="0" w:space="0" w:color="auto"/>
            <w:left w:val="none" w:sz="0" w:space="0" w:color="auto"/>
            <w:bottom w:val="none" w:sz="0" w:space="0" w:color="auto"/>
            <w:right w:val="none" w:sz="0" w:space="0" w:color="auto"/>
          </w:divBdr>
        </w:div>
        <w:div w:id="543710605">
          <w:marLeft w:val="0"/>
          <w:marRight w:val="0"/>
          <w:marTop w:val="0"/>
          <w:marBottom w:val="0"/>
          <w:divBdr>
            <w:top w:val="none" w:sz="0" w:space="0" w:color="auto"/>
            <w:left w:val="none" w:sz="0" w:space="0" w:color="auto"/>
            <w:bottom w:val="none" w:sz="0" w:space="0" w:color="auto"/>
            <w:right w:val="none" w:sz="0" w:space="0" w:color="auto"/>
          </w:divBdr>
        </w:div>
        <w:div w:id="116527034">
          <w:marLeft w:val="0"/>
          <w:marRight w:val="0"/>
          <w:marTop w:val="0"/>
          <w:marBottom w:val="0"/>
          <w:divBdr>
            <w:top w:val="none" w:sz="0" w:space="0" w:color="auto"/>
            <w:left w:val="none" w:sz="0" w:space="0" w:color="auto"/>
            <w:bottom w:val="none" w:sz="0" w:space="0" w:color="auto"/>
            <w:right w:val="none" w:sz="0" w:space="0" w:color="auto"/>
          </w:divBdr>
        </w:div>
        <w:div w:id="1364592477">
          <w:marLeft w:val="0"/>
          <w:marRight w:val="0"/>
          <w:marTop w:val="0"/>
          <w:marBottom w:val="0"/>
          <w:divBdr>
            <w:top w:val="none" w:sz="0" w:space="0" w:color="auto"/>
            <w:left w:val="none" w:sz="0" w:space="0" w:color="auto"/>
            <w:bottom w:val="none" w:sz="0" w:space="0" w:color="auto"/>
            <w:right w:val="none" w:sz="0" w:space="0" w:color="auto"/>
          </w:divBdr>
        </w:div>
        <w:div w:id="65225154">
          <w:marLeft w:val="0"/>
          <w:marRight w:val="0"/>
          <w:marTop w:val="0"/>
          <w:marBottom w:val="0"/>
          <w:divBdr>
            <w:top w:val="none" w:sz="0" w:space="0" w:color="auto"/>
            <w:left w:val="none" w:sz="0" w:space="0" w:color="auto"/>
            <w:bottom w:val="none" w:sz="0" w:space="0" w:color="auto"/>
            <w:right w:val="none" w:sz="0" w:space="0" w:color="auto"/>
          </w:divBdr>
        </w:div>
        <w:div w:id="1286111229">
          <w:marLeft w:val="0"/>
          <w:marRight w:val="0"/>
          <w:marTop w:val="0"/>
          <w:marBottom w:val="0"/>
          <w:divBdr>
            <w:top w:val="none" w:sz="0" w:space="0" w:color="auto"/>
            <w:left w:val="none" w:sz="0" w:space="0" w:color="auto"/>
            <w:bottom w:val="none" w:sz="0" w:space="0" w:color="auto"/>
            <w:right w:val="none" w:sz="0" w:space="0" w:color="auto"/>
          </w:divBdr>
        </w:div>
      </w:divsChild>
    </w:div>
    <w:div w:id="1000621318">
      <w:bodyDiv w:val="1"/>
      <w:marLeft w:val="0"/>
      <w:marRight w:val="0"/>
      <w:marTop w:val="0"/>
      <w:marBottom w:val="0"/>
      <w:divBdr>
        <w:top w:val="none" w:sz="0" w:space="0" w:color="auto"/>
        <w:left w:val="none" w:sz="0" w:space="0" w:color="auto"/>
        <w:bottom w:val="none" w:sz="0" w:space="0" w:color="auto"/>
        <w:right w:val="none" w:sz="0" w:space="0" w:color="auto"/>
      </w:divBdr>
    </w:div>
    <w:div w:id="1062362472">
      <w:bodyDiv w:val="1"/>
      <w:marLeft w:val="0"/>
      <w:marRight w:val="0"/>
      <w:marTop w:val="0"/>
      <w:marBottom w:val="0"/>
      <w:divBdr>
        <w:top w:val="none" w:sz="0" w:space="0" w:color="auto"/>
        <w:left w:val="none" w:sz="0" w:space="0" w:color="auto"/>
        <w:bottom w:val="none" w:sz="0" w:space="0" w:color="auto"/>
        <w:right w:val="none" w:sz="0" w:space="0" w:color="auto"/>
      </w:divBdr>
    </w:div>
    <w:div w:id="1188103584">
      <w:bodyDiv w:val="1"/>
      <w:marLeft w:val="0"/>
      <w:marRight w:val="0"/>
      <w:marTop w:val="0"/>
      <w:marBottom w:val="0"/>
      <w:divBdr>
        <w:top w:val="none" w:sz="0" w:space="0" w:color="auto"/>
        <w:left w:val="none" w:sz="0" w:space="0" w:color="auto"/>
        <w:bottom w:val="none" w:sz="0" w:space="0" w:color="auto"/>
        <w:right w:val="none" w:sz="0" w:space="0" w:color="auto"/>
      </w:divBdr>
      <w:divsChild>
        <w:div w:id="2130858470">
          <w:marLeft w:val="0"/>
          <w:marRight w:val="0"/>
          <w:marTop w:val="0"/>
          <w:marBottom w:val="0"/>
          <w:divBdr>
            <w:top w:val="none" w:sz="0" w:space="0" w:color="auto"/>
            <w:left w:val="none" w:sz="0" w:space="0" w:color="auto"/>
            <w:bottom w:val="none" w:sz="0" w:space="0" w:color="auto"/>
            <w:right w:val="none" w:sz="0" w:space="0" w:color="auto"/>
          </w:divBdr>
          <w:divsChild>
            <w:div w:id="13925551">
              <w:marLeft w:val="0"/>
              <w:marRight w:val="0"/>
              <w:marTop w:val="0"/>
              <w:marBottom w:val="0"/>
              <w:divBdr>
                <w:top w:val="none" w:sz="0" w:space="0" w:color="auto"/>
                <w:left w:val="none" w:sz="0" w:space="0" w:color="auto"/>
                <w:bottom w:val="none" w:sz="0" w:space="0" w:color="auto"/>
                <w:right w:val="none" w:sz="0" w:space="0" w:color="auto"/>
              </w:divBdr>
            </w:div>
          </w:divsChild>
        </w:div>
        <w:div w:id="580986064">
          <w:marLeft w:val="0"/>
          <w:marRight w:val="0"/>
          <w:marTop w:val="0"/>
          <w:marBottom w:val="0"/>
          <w:divBdr>
            <w:top w:val="none" w:sz="0" w:space="0" w:color="auto"/>
            <w:left w:val="none" w:sz="0" w:space="0" w:color="auto"/>
            <w:bottom w:val="none" w:sz="0" w:space="0" w:color="auto"/>
            <w:right w:val="none" w:sz="0" w:space="0" w:color="auto"/>
          </w:divBdr>
          <w:divsChild>
            <w:div w:id="612907226">
              <w:marLeft w:val="0"/>
              <w:marRight w:val="0"/>
              <w:marTop w:val="0"/>
              <w:marBottom w:val="0"/>
              <w:divBdr>
                <w:top w:val="none" w:sz="0" w:space="0" w:color="auto"/>
                <w:left w:val="none" w:sz="0" w:space="0" w:color="auto"/>
                <w:bottom w:val="none" w:sz="0" w:space="0" w:color="auto"/>
                <w:right w:val="none" w:sz="0" w:space="0" w:color="auto"/>
              </w:divBdr>
              <w:divsChild>
                <w:div w:id="34193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035211">
      <w:bodyDiv w:val="1"/>
      <w:marLeft w:val="0"/>
      <w:marRight w:val="0"/>
      <w:marTop w:val="0"/>
      <w:marBottom w:val="0"/>
      <w:divBdr>
        <w:top w:val="none" w:sz="0" w:space="0" w:color="auto"/>
        <w:left w:val="none" w:sz="0" w:space="0" w:color="auto"/>
        <w:bottom w:val="none" w:sz="0" w:space="0" w:color="auto"/>
        <w:right w:val="none" w:sz="0" w:space="0" w:color="auto"/>
      </w:divBdr>
    </w:div>
    <w:div w:id="1367750717">
      <w:bodyDiv w:val="1"/>
      <w:marLeft w:val="0"/>
      <w:marRight w:val="0"/>
      <w:marTop w:val="0"/>
      <w:marBottom w:val="0"/>
      <w:divBdr>
        <w:top w:val="none" w:sz="0" w:space="0" w:color="auto"/>
        <w:left w:val="none" w:sz="0" w:space="0" w:color="auto"/>
        <w:bottom w:val="none" w:sz="0" w:space="0" w:color="auto"/>
        <w:right w:val="none" w:sz="0" w:space="0" w:color="auto"/>
      </w:divBdr>
    </w:div>
    <w:div w:id="1393576681">
      <w:bodyDiv w:val="1"/>
      <w:marLeft w:val="0"/>
      <w:marRight w:val="0"/>
      <w:marTop w:val="0"/>
      <w:marBottom w:val="0"/>
      <w:divBdr>
        <w:top w:val="none" w:sz="0" w:space="0" w:color="auto"/>
        <w:left w:val="none" w:sz="0" w:space="0" w:color="auto"/>
        <w:bottom w:val="none" w:sz="0" w:space="0" w:color="auto"/>
        <w:right w:val="none" w:sz="0" w:space="0" w:color="auto"/>
      </w:divBdr>
    </w:div>
    <w:div w:id="1399092202">
      <w:bodyDiv w:val="1"/>
      <w:marLeft w:val="0"/>
      <w:marRight w:val="0"/>
      <w:marTop w:val="0"/>
      <w:marBottom w:val="0"/>
      <w:divBdr>
        <w:top w:val="none" w:sz="0" w:space="0" w:color="auto"/>
        <w:left w:val="none" w:sz="0" w:space="0" w:color="auto"/>
        <w:bottom w:val="none" w:sz="0" w:space="0" w:color="auto"/>
        <w:right w:val="none" w:sz="0" w:space="0" w:color="auto"/>
      </w:divBdr>
    </w:div>
    <w:div w:id="1475560784">
      <w:bodyDiv w:val="1"/>
      <w:marLeft w:val="0"/>
      <w:marRight w:val="0"/>
      <w:marTop w:val="0"/>
      <w:marBottom w:val="0"/>
      <w:divBdr>
        <w:top w:val="none" w:sz="0" w:space="0" w:color="auto"/>
        <w:left w:val="none" w:sz="0" w:space="0" w:color="auto"/>
        <w:bottom w:val="none" w:sz="0" w:space="0" w:color="auto"/>
        <w:right w:val="none" w:sz="0" w:space="0" w:color="auto"/>
      </w:divBdr>
    </w:div>
    <w:div w:id="1507787325">
      <w:bodyDiv w:val="1"/>
      <w:marLeft w:val="0"/>
      <w:marRight w:val="0"/>
      <w:marTop w:val="0"/>
      <w:marBottom w:val="0"/>
      <w:divBdr>
        <w:top w:val="none" w:sz="0" w:space="0" w:color="auto"/>
        <w:left w:val="none" w:sz="0" w:space="0" w:color="auto"/>
        <w:bottom w:val="none" w:sz="0" w:space="0" w:color="auto"/>
        <w:right w:val="none" w:sz="0" w:space="0" w:color="auto"/>
      </w:divBdr>
    </w:div>
    <w:div w:id="1630624970">
      <w:bodyDiv w:val="1"/>
      <w:marLeft w:val="0"/>
      <w:marRight w:val="0"/>
      <w:marTop w:val="0"/>
      <w:marBottom w:val="0"/>
      <w:divBdr>
        <w:top w:val="none" w:sz="0" w:space="0" w:color="auto"/>
        <w:left w:val="none" w:sz="0" w:space="0" w:color="auto"/>
        <w:bottom w:val="none" w:sz="0" w:space="0" w:color="auto"/>
        <w:right w:val="none" w:sz="0" w:space="0" w:color="auto"/>
      </w:divBdr>
    </w:div>
    <w:div w:id="1674644841">
      <w:bodyDiv w:val="1"/>
      <w:marLeft w:val="0"/>
      <w:marRight w:val="0"/>
      <w:marTop w:val="0"/>
      <w:marBottom w:val="0"/>
      <w:divBdr>
        <w:top w:val="none" w:sz="0" w:space="0" w:color="auto"/>
        <w:left w:val="none" w:sz="0" w:space="0" w:color="auto"/>
        <w:bottom w:val="none" w:sz="0" w:space="0" w:color="auto"/>
        <w:right w:val="none" w:sz="0" w:space="0" w:color="auto"/>
      </w:divBdr>
    </w:div>
    <w:div w:id="1683120427">
      <w:bodyDiv w:val="1"/>
      <w:marLeft w:val="0"/>
      <w:marRight w:val="0"/>
      <w:marTop w:val="0"/>
      <w:marBottom w:val="0"/>
      <w:divBdr>
        <w:top w:val="none" w:sz="0" w:space="0" w:color="auto"/>
        <w:left w:val="none" w:sz="0" w:space="0" w:color="auto"/>
        <w:bottom w:val="none" w:sz="0" w:space="0" w:color="auto"/>
        <w:right w:val="none" w:sz="0" w:space="0" w:color="auto"/>
      </w:divBdr>
    </w:div>
    <w:div w:id="1768844569">
      <w:bodyDiv w:val="1"/>
      <w:marLeft w:val="0"/>
      <w:marRight w:val="0"/>
      <w:marTop w:val="0"/>
      <w:marBottom w:val="0"/>
      <w:divBdr>
        <w:top w:val="none" w:sz="0" w:space="0" w:color="auto"/>
        <w:left w:val="none" w:sz="0" w:space="0" w:color="auto"/>
        <w:bottom w:val="none" w:sz="0" w:space="0" w:color="auto"/>
        <w:right w:val="none" w:sz="0" w:space="0" w:color="auto"/>
      </w:divBdr>
    </w:div>
    <w:div w:id="1798798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hart" Target="charts/chart4.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hart" Target="charts/chart3.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fontTable" Target="fontTable.xml"/><Relationship Id="rId10" Type="http://schemas.openxmlformats.org/officeDocument/2006/relationships/hyperlink" Target="http://www.paratiritirioanapirias.gr/" TargetMode="Externa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chart" Target="charts/chart8.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eurostat/databrowser/view/dsb_sprex01/default/table?lang=en&amp;category=dsb.dsb_spr.dsb_sprex" TargetMode="External"/><Relationship Id="rId1" Type="http://schemas.openxmlformats.org/officeDocument/2006/relationships/hyperlink" Target="https://eur-lex.europa.eu/legal-content/EL/TXT/HTML/?uri=CELEX:32007R1445"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ouro\Dropbox\Desktop\&#915;&#929;&#913;&#934;&#919;&#924;&#913;&#932;&#913;_&#916;&#917;&#923;&#932;&#921;&#927;_&#921;&#927;&#933;&#925;&#921;&#927;&#93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ouro\Dropbox\Desktop\&#915;&#929;&#913;&#934;&#919;&#924;&#913;&#932;&#913;_&#916;&#917;&#923;&#932;&#921;&#927;_&#921;&#927;&#933;&#925;&#921;&#927;&#93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ouro\Dropbox\Desktop\&#915;&#929;&#913;&#934;&#919;&#924;&#913;&#932;&#913;_&#916;&#917;&#923;&#932;&#921;&#927;_&#921;&#927;&#933;&#925;&#921;&#927;&#93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ouro\Dropbox\Desktop\&#915;&#929;&#913;&#934;&#919;&#924;&#913;&#932;&#913;_&#916;&#917;&#923;&#932;&#921;&#927;_&#921;&#927;&#933;&#925;&#921;&#927;&#93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ouro\Dropbox\Desktop\&#915;&#929;&#913;&#934;&#919;&#924;&#913;&#932;&#913;_&#916;&#917;&#923;&#932;&#921;&#927;_&#921;&#927;&#933;&#925;&#921;&#927;&#93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mouro\Dropbox\Desktop\&#915;&#929;&#913;&#934;&#919;&#924;&#913;&#932;&#913;_&#916;&#917;&#923;&#932;&#921;&#927;_&#921;&#927;&#933;&#925;&#921;&#927;&#93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mouro\Dropbox\Desktop\&#915;&#929;&#913;&#934;&#919;&#924;&#913;&#932;&#913;_&#916;&#917;&#923;&#932;&#921;&#927;_&#921;&#927;&#933;&#925;&#921;&#927;&#93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mouro\Dropbox\Desktop\&#915;&#929;&#913;&#934;&#919;&#924;&#913;&#932;&#913;_&#916;&#917;&#923;&#932;&#921;&#927;_&#921;&#927;&#933;&#925;&#921;&#927;&#93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lenovo\Desktop\hlth_dpe010__custom_17222742_page_spreadsheet.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chemeClr val="tx1">
                        <a:lumMod val="75000"/>
                        <a:lumOff val="25000"/>
                      </a:schemeClr>
                    </a:solidFill>
                    <a:latin typeface="+mj-lt"/>
                    <a:ea typeface="+mn-ea"/>
                    <a:cs typeface="+mn-cs"/>
                  </a:defRPr>
                </a:pPr>
                <a:endParaRPr lang="el-G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'ΓΡΑΦΗΜΑ 1'!$N$5:$X$5</c:f>
              <c:numCache>
                <c:formatCode>0</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'ΓΡΑΦΗΜΑ 1'!$N$6:$X$6</c:f>
              <c:numCache>
                <c:formatCode>#,##0</c:formatCode>
                <c:ptCount val="11"/>
                <c:pt idx="0">
                  <c:v>52722</c:v>
                </c:pt>
                <c:pt idx="1">
                  <c:v>46765</c:v>
                </c:pt>
                <c:pt idx="2">
                  <c:v>45374</c:v>
                </c:pt>
                <c:pt idx="3">
                  <c:v>45740.5</c:v>
                </c:pt>
                <c:pt idx="4">
                  <c:v>45836.03</c:v>
                </c:pt>
                <c:pt idx="5">
                  <c:v>44891.199999999997</c:v>
                </c:pt>
                <c:pt idx="6">
                  <c:v>45265.75</c:v>
                </c:pt>
                <c:pt idx="7">
                  <c:v>46125.46</c:v>
                </c:pt>
                <c:pt idx="8">
                  <c:v>48141.53</c:v>
                </c:pt>
                <c:pt idx="9">
                  <c:v>48599.78</c:v>
                </c:pt>
                <c:pt idx="10">
                  <c:v>49614</c:v>
                </c:pt>
              </c:numCache>
            </c:numRef>
          </c:val>
          <c:extLst>
            <c:ext xmlns:c16="http://schemas.microsoft.com/office/drawing/2014/chart" uri="{C3380CC4-5D6E-409C-BE32-E72D297353CC}">
              <c16:uniqueId val="{00000000-61FC-40C0-8912-B4DD2C6CA037}"/>
            </c:ext>
          </c:extLst>
        </c:ser>
        <c:dLbls>
          <c:showLegendKey val="0"/>
          <c:showVal val="0"/>
          <c:showCatName val="0"/>
          <c:showSerName val="0"/>
          <c:showPercent val="0"/>
          <c:showBubbleSize val="0"/>
        </c:dLbls>
        <c:gapWidth val="219"/>
        <c:overlap val="-27"/>
        <c:axId val="582050448"/>
        <c:axId val="582053712"/>
      </c:barChart>
      <c:catAx>
        <c:axId val="582050448"/>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chemeClr val="tx1">
                    <a:lumMod val="65000"/>
                    <a:lumOff val="35000"/>
                  </a:schemeClr>
                </a:solidFill>
                <a:latin typeface="+mj-lt"/>
                <a:ea typeface="+mn-ea"/>
                <a:cs typeface="+mn-cs"/>
              </a:defRPr>
            </a:pPr>
            <a:endParaRPr lang="el-GR"/>
          </a:p>
        </c:txPr>
        <c:crossAx val="582053712"/>
        <c:crosses val="autoZero"/>
        <c:auto val="1"/>
        <c:lblAlgn val="ctr"/>
        <c:lblOffset val="100"/>
        <c:noMultiLvlLbl val="0"/>
      </c:catAx>
      <c:valAx>
        <c:axId val="582053712"/>
        <c:scaling>
          <c:orientation val="minMax"/>
        </c:scaling>
        <c:delete val="1"/>
        <c:axPos val="l"/>
        <c:numFmt formatCode="#,##0" sourceLinked="1"/>
        <c:majorTickMark val="none"/>
        <c:minorTickMark val="none"/>
        <c:tickLblPos val="nextTo"/>
        <c:crossAx val="582050448"/>
        <c:crosses val="autoZero"/>
        <c:crossBetween val="between"/>
      </c:valAx>
      <c:spPr>
        <a:noFill/>
        <a:ln>
          <a:noFill/>
        </a:ln>
        <a:effectLst/>
      </c:spPr>
    </c:plotArea>
    <c:plotVisOnly val="1"/>
    <c:dispBlanksAs val="gap"/>
    <c:showDLblsOverMax val="0"/>
    <c:extLst>
      <c:ext uri="{0b15fc19-7d7d-44ad-8c2d-2c3a37ce22c3}">
        <chartProps xmlns="https://web.wps.cn/et/2018/main" chartId="{2c166829-e4cb-41e6-b1ee-8ab45c0e23c7}"/>
      </c:ext>
    </c:extLst>
  </c:chart>
  <c:spPr>
    <a:solidFill>
      <a:schemeClr val="bg1"/>
    </a:solidFill>
    <a:ln w="9525" cap="flat" cmpd="sng" algn="ctr">
      <a:noFill/>
      <a:round/>
    </a:ln>
    <a:effectLst/>
  </c:spPr>
  <c:txPr>
    <a:bodyPr/>
    <a:lstStyle/>
    <a:p>
      <a:pPr>
        <a:defRPr lang="en-US"/>
      </a:pPr>
      <a:endParaRPr lang="el-G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bg1">
                <a:lumMod val="50000"/>
              </a:schemeClr>
            </a:solidFill>
            <a:ln>
              <a:noFill/>
            </a:ln>
            <a:effectLst/>
          </c:spPr>
          <c:invertIfNegative val="0"/>
          <c:dPt>
            <c:idx val="9"/>
            <c:invertIfNegative val="0"/>
            <c:bubble3D val="0"/>
            <c:spPr>
              <a:solidFill>
                <a:srgbClr val="0070C0"/>
              </a:solidFill>
              <a:ln>
                <a:noFill/>
              </a:ln>
              <a:effectLst/>
            </c:spPr>
            <c:extLst>
              <c:ext xmlns:c16="http://schemas.microsoft.com/office/drawing/2014/chart" uri="{C3380CC4-5D6E-409C-BE32-E72D297353CC}">
                <c16:uniqueId val="{00000001-E4B5-45C8-9161-01B52861DB83}"/>
              </c:ext>
            </c:extLst>
          </c:dPt>
          <c:dPt>
            <c:idx val="18"/>
            <c:invertIfNegative val="0"/>
            <c:bubble3D val="0"/>
            <c:spPr>
              <a:solidFill>
                <a:srgbClr val="FFC000"/>
              </a:solidFill>
              <a:ln>
                <a:noFill/>
              </a:ln>
              <a:effectLst/>
            </c:spPr>
            <c:extLst>
              <c:ext xmlns:c16="http://schemas.microsoft.com/office/drawing/2014/chart" uri="{C3380CC4-5D6E-409C-BE32-E72D297353CC}">
                <c16:uniqueId val="{00000003-E4B5-45C8-9161-01B52861DB83}"/>
              </c:ext>
            </c:extLst>
          </c:dPt>
          <c:dLbls>
            <c:dLbl>
              <c:idx val="0"/>
              <c:delete val="1"/>
              <c:extLst>
                <c:ext xmlns:c15="http://schemas.microsoft.com/office/drawing/2012/chart" uri="{CE6537A1-D6FC-4f65-9D91-7224C49458BB}"/>
                <c:ext xmlns:c16="http://schemas.microsoft.com/office/drawing/2014/chart" uri="{C3380CC4-5D6E-409C-BE32-E72D297353CC}">
                  <c16:uniqueId val="{00000004-E4B5-45C8-9161-01B52861DB83}"/>
                </c:ext>
              </c:extLst>
            </c:dLbl>
            <c:dLbl>
              <c:idx val="1"/>
              <c:delete val="1"/>
              <c:extLst>
                <c:ext xmlns:c15="http://schemas.microsoft.com/office/drawing/2012/chart" uri="{CE6537A1-D6FC-4f65-9D91-7224C49458BB}"/>
                <c:ext xmlns:c16="http://schemas.microsoft.com/office/drawing/2014/chart" uri="{C3380CC4-5D6E-409C-BE32-E72D297353CC}">
                  <c16:uniqueId val="{00000005-E4B5-45C8-9161-01B52861DB83}"/>
                </c:ext>
              </c:extLst>
            </c:dLbl>
            <c:dLbl>
              <c:idx val="2"/>
              <c:delete val="1"/>
              <c:extLst>
                <c:ext xmlns:c15="http://schemas.microsoft.com/office/drawing/2012/chart" uri="{CE6537A1-D6FC-4f65-9D91-7224C49458BB}"/>
                <c:ext xmlns:c16="http://schemas.microsoft.com/office/drawing/2014/chart" uri="{C3380CC4-5D6E-409C-BE32-E72D297353CC}">
                  <c16:uniqueId val="{00000006-E4B5-45C8-9161-01B52861DB83}"/>
                </c:ext>
              </c:extLst>
            </c:dLbl>
            <c:dLbl>
              <c:idx val="3"/>
              <c:delete val="1"/>
              <c:extLst>
                <c:ext xmlns:c15="http://schemas.microsoft.com/office/drawing/2012/chart" uri="{CE6537A1-D6FC-4f65-9D91-7224C49458BB}"/>
                <c:ext xmlns:c16="http://schemas.microsoft.com/office/drawing/2014/chart" uri="{C3380CC4-5D6E-409C-BE32-E72D297353CC}">
                  <c16:uniqueId val="{00000007-E4B5-45C8-9161-01B52861DB83}"/>
                </c:ext>
              </c:extLst>
            </c:dLbl>
            <c:dLbl>
              <c:idx val="4"/>
              <c:delete val="1"/>
              <c:extLst>
                <c:ext xmlns:c15="http://schemas.microsoft.com/office/drawing/2012/chart" uri="{CE6537A1-D6FC-4f65-9D91-7224C49458BB}"/>
                <c:ext xmlns:c16="http://schemas.microsoft.com/office/drawing/2014/chart" uri="{C3380CC4-5D6E-409C-BE32-E72D297353CC}">
                  <c16:uniqueId val="{00000008-E4B5-45C8-9161-01B52861DB83}"/>
                </c:ext>
              </c:extLst>
            </c:dLbl>
            <c:dLbl>
              <c:idx val="5"/>
              <c:delete val="1"/>
              <c:extLst>
                <c:ext xmlns:c15="http://schemas.microsoft.com/office/drawing/2012/chart" uri="{CE6537A1-D6FC-4f65-9D91-7224C49458BB}"/>
                <c:ext xmlns:c16="http://schemas.microsoft.com/office/drawing/2014/chart" uri="{C3380CC4-5D6E-409C-BE32-E72D297353CC}">
                  <c16:uniqueId val="{00000009-E4B5-45C8-9161-01B52861DB83}"/>
                </c:ext>
              </c:extLst>
            </c:dLbl>
            <c:dLbl>
              <c:idx val="6"/>
              <c:delete val="1"/>
              <c:extLst>
                <c:ext xmlns:c15="http://schemas.microsoft.com/office/drawing/2012/chart" uri="{CE6537A1-D6FC-4f65-9D91-7224C49458BB}"/>
                <c:ext xmlns:c16="http://schemas.microsoft.com/office/drawing/2014/chart" uri="{C3380CC4-5D6E-409C-BE32-E72D297353CC}">
                  <c16:uniqueId val="{0000000A-E4B5-45C8-9161-01B52861DB83}"/>
                </c:ext>
              </c:extLst>
            </c:dLbl>
            <c:dLbl>
              <c:idx val="7"/>
              <c:delete val="1"/>
              <c:extLst>
                <c:ext xmlns:c15="http://schemas.microsoft.com/office/drawing/2012/chart" uri="{CE6537A1-D6FC-4f65-9D91-7224C49458BB}"/>
                <c:ext xmlns:c16="http://schemas.microsoft.com/office/drawing/2014/chart" uri="{C3380CC4-5D6E-409C-BE32-E72D297353CC}">
                  <c16:uniqueId val="{0000000B-E4B5-45C8-9161-01B52861DB83}"/>
                </c:ext>
              </c:extLst>
            </c:dLbl>
            <c:dLbl>
              <c:idx val="8"/>
              <c:delete val="1"/>
              <c:extLst>
                <c:ext xmlns:c15="http://schemas.microsoft.com/office/drawing/2012/chart" uri="{CE6537A1-D6FC-4f65-9D91-7224C49458BB}"/>
                <c:ext xmlns:c16="http://schemas.microsoft.com/office/drawing/2014/chart" uri="{C3380CC4-5D6E-409C-BE32-E72D297353CC}">
                  <c16:uniqueId val="{0000000C-E4B5-45C8-9161-01B52861DB83}"/>
                </c:ext>
              </c:extLst>
            </c:dLbl>
            <c:dLbl>
              <c:idx val="9"/>
              <c:delete val="1"/>
              <c:extLst>
                <c:ext xmlns:c15="http://schemas.microsoft.com/office/drawing/2012/chart" uri="{CE6537A1-D6FC-4f65-9D91-7224C49458BB}"/>
                <c:ext xmlns:c16="http://schemas.microsoft.com/office/drawing/2014/chart" uri="{C3380CC4-5D6E-409C-BE32-E72D297353CC}">
                  <c16:uniqueId val="{00000001-E4B5-45C8-9161-01B52861DB83}"/>
                </c:ext>
              </c:extLst>
            </c:dLbl>
            <c:dLbl>
              <c:idx val="10"/>
              <c:layout>
                <c:manualLayout>
                  <c:x val="9.1043587117331584E-3"/>
                  <c:y val="3.465144720750101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4B5-45C8-9161-01B52861DB83}"/>
                </c:ext>
              </c:extLst>
            </c:dLbl>
            <c:dLbl>
              <c:idx val="11"/>
              <c:delete val="1"/>
              <c:extLst>
                <c:ext xmlns:c15="http://schemas.microsoft.com/office/drawing/2012/chart" uri="{CE6537A1-D6FC-4f65-9D91-7224C49458BB}"/>
                <c:ext xmlns:c16="http://schemas.microsoft.com/office/drawing/2014/chart" uri="{C3380CC4-5D6E-409C-BE32-E72D297353CC}">
                  <c16:uniqueId val="{0000000E-E4B5-45C8-9161-01B52861DB83}"/>
                </c:ext>
              </c:extLst>
            </c:dLbl>
            <c:dLbl>
              <c:idx val="12"/>
              <c:delete val="1"/>
              <c:extLst>
                <c:ext xmlns:c15="http://schemas.microsoft.com/office/drawing/2012/chart" uri="{CE6537A1-D6FC-4f65-9D91-7224C49458BB}"/>
                <c:ext xmlns:c16="http://schemas.microsoft.com/office/drawing/2014/chart" uri="{C3380CC4-5D6E-409C-BE32-E72D297353CC}">
                  <c16:uniqueId val="{0000000F-E4B5-45C8-9161-01B52861DB83}"/>
                </c:ext>
              </c:extLst>
            </c:dLbl>
            <c:dLbl>
              <c:idx val="13"/>
              <c:delete val="1"/>
              <c:extLst>
                <c:ext xmlns:c15="http://schemas.microsoft.com/office/drawing/2012/chart" uri="{CE6537A1-D6FC-4f65-9D91-7224C49458BB}"/>
                <c:ext xmlns:c16="http://schemas.microsoft.com/office/drawing/2014/chart" uri="{C3380CC4-5D6E-409C-BE32-E72D297353CC}">
                  <c16:uniqueId val="{00000010-E4B5-45C8-9161-01B52861DB83}"/>
                </c:ext>
              </c:extLst>
            </c:dLbl>
            <c:dLbl>
              <c:idx val="14"/>
              <c:delete val="1"/>
              <c:extLst>
                <c:ext xmlns:c15="http://schemas.microsoft.com/office/drawing/2012/chart" uri="{CE6537A1-D6FC-4f65-9D91-7224C49458BB}"/>
                <c:ext xmlns:c16="http://schemas.microsoft.com/office/drawing/2014/chart" uri="{C3380CC4-5D6E-409C-BE32-E72D297353CC}">
                  <c16:uniqueId val="{00000011-E4B5-45C8-9161-01B52861DB83}"/>
                </c:ext>
              </c:extLst>
            </c:dLbl>
            <c:dLbl>
              <c:idx val="15"/>
              <c:delete val="1"/>
              <c:extLst>
                <c:ext xmlns:c15="http://schemas.microsoft.com/office/drawing/2012/chart" uri="{CE6537A1-D6FC-4f65-9D91-7224C49458BB}"/>
                <c:ext xmlns:c16="http://schemas.microsoft.com/office/drawing/2014/chart" uri="{C3380CC4-5D6E-409C-BE32-E72D297353CC}">
                  <c16:uniqueId val="{00000012-E4B5-45C8-9161-01B52861DB83}"/>
                </c:ext>
              </c:extLst>
            </c:dLbl>
            <c:dLbl>
              <c:idx val="16"/>
              <c:delete val="1"/>
              <c:extLst>
                <c:ext xmlns:c15="http://schemas.microsoft.com/office/drawing/2012/chart" uri="{CE6537A1-D6FC-4f65-9D91-7224C49458BB}"/>
                <c:ext xmlns:c16="http://schemas.microsoft.com/office/drawing/2014/chart" uri="{C3380CC4-5D6E-409C-BE32-E72D297353CC}">
                  <c16:uniqueId val="{00000013-E4B5-45C8-9161-01B52861DB83}"/>
                </c:ext>
              </c:extLst>
            </c:dLbl>
            <c:dLbl>
              <c:idx val="17"/>
              <c:delete val="1"/>
              <c:extLst>
                <c:ext xmlns:c15="http://schemas.microsoft.com/office/drawing/2012/chart" uri="{CE6537A1-D6FC-4f65-9D91-7224C49458BB}"/>
                <c:ext xmlns:c16="http://schemas.microsoft.com/office/drawing/2014/chart" uri="{C3380CC4-5D6E-409C-BE32-E72D297353CC}">
                  <c16:uniqueId val="{00000014-E4B5-45C8-9161-01B52861DB83}"/>
                </c:ext>
              </c:extLst>
            </c:dLbl>
            <c:dLbl>
              <c:idx val="18"/>
              <c:layout>
                <c:manualLayout>
                  <c:x val="1.8608914923531367E-2"/>
                  <c:y val="1.479038093211321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4B5-45C8-9161-01B52861DB83}"/>
                </c:ext>
              </c:extLst>
            </c:dLbl>
            <c:dLbl>
              <c:idx val="19"/>
              <c:delete val="1"/>
              <c:extLst>
                <c:ext xmlns:c15="http://schemas.microsoft.com/office/drawing/2012/chart" uri="{CE6537A1-D6FC-4f65-9D91-7224C49458BB}"/>
                <c:ext xmlns:c16="http://schemas.microsoft.com/office/drawing/2014/chart" uri="{C3380CC4-5D6E-409C-BE32-E72D297353CC}">
                  <c16:uniqueId val="{00000015-E4B5-45C8-9161-01B52861DB83}"/>
                </c:ext>
              </c:extLst>
            </c:dLbl>
            <c:dLbl>
              <c:idx val="20"/>
              <c:delete val="1"/>
              <c:extLst>
                <c:ext xmlns:c15="http://schemas.microsoft.com/office/drawing/2012/chart" uri="{CE6537A1-D6FC-4f65-9D91-7224C49458BB}"/>
                <c:ext xmlns:c16="http://schemas.microsoft.com/office/drawing/2014/chart" uri="{C3380CC4-5D6E-409C-BE32-E72D297353CC}">
                  <c16:uniqueId val="{00000016-E4B5-45C8-9161-01B52861DB83}"/>
                </c:ext>
              </c:extLst>
            </c:dLbl>
            <c:dLbl>
              <c:idx val="21"/>
              <c:delete val="1"/>
              <c:extLst>
                <c:ext xmlns:c15="http://schemas.microsoft.com/office/drawing/2012/chart" uri="{CE6537A1-D6FC-4f65-9D91-7224C49458BB}"/>
                <c:ext xmlns:c16="http://schemas.microsoft.com/office/drawing/2014/chart" uri="{C3380CC4-5D6E-409C-BE32-E72D297353CC}">
                  <c16:uniqueId val="{00000017-E4B5-45C8-9161-01B52861DB83}"/>
                </c:ext>
              </c:extLst>
            </c:dLbl>
            <c:dLbl>
              <c:idx val="22"/>
              <c:delete val="1"/>
              <c:extLst>
                <c:ext xmlns:c15="http://schemas.microsoft.com/office/drawing/2012/chart" uri="{CE6537A1-D6FC-4f65-9D91-7224C49458BB}"/>
                <c:ext xmlns:c16="http://schemas.microsoft.com/office/drawing/2014/chart" uri="{C3380CC4-5D6E-409C-BE32-E72D297353CC}">
                  <c16:uniqueId val="{00000018-E4B5-45C8-9161-01B52861DB83}"/>
                </c:ext>
              </c:extLst>
            </c:dLbl>
            <c:dLbl>
              <c:idx val="23"/>
              <c:delete val="1"/>
              <c:extLst>
                <c:ext xmlns:c15="http://schemas.microsoft.com/office/drawing/2012/chart" uri="{CE6537A1-D6FC-4f65-9D91-7224C49458BB}"/>
                <c:ext xmlns:c16="http://schemas.microsoft.com/office/drawing/2014/chart" uri="{C3380CC4-5D6E-409C-BE32-E72D297353CC}">
                  <c16:uniqueId val="{00000019-E4B5-45C8-9161-01B52861DB83}"/>
                </c:ext>
              </c:extLst>
            </c:dLbl>
            <c:dLbl>
              <c:idx val="24"/>
              <c:delete val="1"/>
              <c:extLst>
                <c:ext xmlns:c15="http://schemas.microsoft.com/office/drawing/2012/chart" uri="{CE6537A1-D6FC-4f65-9D91-7224C49458BB}"/>
                <c:ext xmlns:c16="http://schemas.microsoft.com/office/drawing/2014/chart" uri="{C3380CC4-5D6E-409C-BE32-E72D297353CC}">
                  <c16:uniqueId val="{0000001A-E4B5-45C8-9161-01B52861DB83}"/>
                </c:ext>
              </c:extLst>
            </c:dLbl>
            <c:dLbl>
              <c:idx val="25"/>
              <c:delete val="1"/>
              <c:extLst>
                <c:ext xmlns:c15="http://schemas.microsoft.com/office/drawing/2012/chart" uri="{CE6537A1-D6FC-4f65-9D91-7224C49458BB}"/>
                <c:ext xmlns:c16="http://schemas.microsoft.com/office/drawing/2014/chart" uri="{C3380CC4-5D6E-409C-BE32-E72D297353CC}">
                  <c16:uniqueId val="{0000001B-E4B5-45C8-9161-01B52861DB83}"/>
                </c:ext>
              </c:extLst>
            </c:dLbl>
            <c:dLbl>
              <c:idx val="26"/>
              <c:delete val="1"/>
              <c:extLst>
                <c:ext xmlns:c15="http://schemas.microsoft.com/office/drawing/2012/chart" uri="{CE6537A1-D6FC-4f65-9D91-7224C49458BB}"/>
                <c:ext xmlns:c16="http://schemas.microsoft.com/office/drawing/2014/chart" uri="{C3380CC4-5D6E-409C-BE32-E72D297353CC}">
                  <c16:uniqueId val="{0000001C-E4B5-45C8-9161-01B52861DB83}"/>
                </c:ext>
              </c:extLst>
            </c:dLbl>
            <c:dLbl>
              <c:idx val="27"/>
              <c:delete val="1"/>
              <c:extLst>
                <c:ext xmlns:c15="http://schemas.microsoft.com/office/drawing/2012/chart" uri="{CE6537A1-D6FC-4f65-9D91-7224C49458BB}"/>
                <c:ext xmlns:c16="http://schemas.microsoft.com/office/drawing/2014/chart" uri="{C3380CC4-5D6E-409C-BE32-E72D297353CC}">
                  <c16:uniqueId val="{0000001D-E4B5-45C8-9161-01B52861DB83}"/>
                </c:ext>
              </c:extLst>
            </c:dLbl>
            <c:spPr>
              <a:noFill/>
              <a:ln>
                <a:noFill/>
              </a:ln>
              <a:effectLst/>
            </c:spPr>
            <c:txPr>
              <a:bodyPr rot="0" spcFirstLastPara="1" vertOverflow="ellipsis" vert="horz" wrap="square" lIns="38100" tIns="19050" rIns="38100" bIns="19050" anchor="ctr" anchorCtr="1">
                <a:spAutoFit/>
              </a:bodyPr>
              <a:lstStyle/>
              <a:p>
                <a:pPr>
                  <a:defRPr lang="en-US" sz="1200" b="1" i="0" u="none" strike="noStrike" kern="1200" baseline="0">
                    <a:solidFill>
                      <a:schemeClr val="tx1">
                        <a:lumMod val="75000"/>
                        <a:lumOff val="25000"/>
                      </a:schemeClr>
                    </a:solidFill>
                    <a:latin typeface="+mj-lt"/>
                    <a:ea typeface="+mn-ea"/>
                    <a:cs typeface="+mn-cs"/>
                  </a:defRPr>
                </a:pPr>
                <a:endParaRPr lang="el-GR"/>
              </a:p>
            </c:txPr>
            <c:dLblPos val="outEnd"/>
            <c:showLegendKey val="0"/>
            <c:showVal val="0"/>
            <c:showCatName val="0"/>
            <c:showSerName val="0"/>
            <c:showPercent val="0"/>
            <c:showBubbleSize val="0"/>
            <c:extLst>
              <c:ext xmlns:c15="http://schemas.microsoft.com/office/drawing/2012/chart" uri="{CE6537A1-D6FC-4f65-9D91-7224C49458BB}">
                <c15:showLeaderLines val="0"/>
              </c:ext>
            </c:extLst>
          </c:dLbls>
          <c:cat>
            <c:strRef>
              <c:f>'ΓΡΑΦΗΜΑ 2'!$K$52:$K$79</c:f>
              <c:strCache>
                <c:ptCount val="28"/>
                <c:pt idx="0">
                  <c:v>Λουξεμβούργο</c:v>
                </c:pt>
                <c:pt idx="1">
                  <c:v>Αυστρία</c:v>
                </c:pt>
                <c:pt idx="2">
                  <c:v>Γερμανία</c:v>
                </c:pt>
                <c:pt idx="3">
                  <c:v>Ολλανδία</c:v>
                </c:pt>
                <c:pt idx="4">
                  <c:v>Δανία</c:v>
                </c:pt>
                <c:pt idx="5">
                  <c:v>Γαλλία</c:v>
                </c:pt>
                <c:pt idx="6">
                  <c:v>Βέλγιο</c:v>
                </c:pt>
                <c:pt idx="7">
                  <c:v>Φινλανδία</c:v>
                </c:pt>
                <c:pt idx="8">
                  <c:v>Σουηδία</c:v>
                </c:pt>
                <c:pt idx="9">
                  <c:v>ΕΕ - 27 (από το 2020)</c:v>
                </c:pt>
                <c:pt idx="10">
                  <c:v>Ιταλία</c:v>
                </c:pt>
                <c:pt idx="11">
                  <c:v>Ιρλανδία</c:v>
                </c:pt>
                <c:pt idx="12">
                  <c:v>Ισπανία</c:v>
                </c:pt>
                <c:pt idx="13">
                  <c:v>Σλοβενία</c:v>
                </c:pt>
                <c:pt idx="14">
                  <c:v>Πορτογαλία</c:v>
                </c:pt>
                <c:pt idx="15">
                  <c:v>Κύπρος</c:v>
                </c:pt>
                <c:pt idx="16">
                  <c:v>Τσεχία</c:v>
                </c:pt>
                <c:pt idx="17">
                  <c:v>Πολωνία</c:v>
                </c:pt>
                <c:pt idx="18">
                  <c:v>Ελλάδα</c:v>
                </c:pt>
                <c:pt idx="19">
                  <c:v>Κροατία</c:v>
                </c:pt>
                <c:pt idx="20">
                  <c:v>Μάλτα</c:v>
                </c:pt>
                <c:pt idx="21">
                  <c:v>Λιθουανία</c:v>
                </c:pt>
                <c:pt idx="22">
                  <c:v>Ουγγαρία</c:v>
                </c:pt>
                <c:pt idx="23">
                  <c:v>Λετονία</c:v>
                </c:pt>
                <c:pt idx="24">
                  <c:v>Σλοβακία</c:v>
                </c:pt>
                <c:pt idx="25">
                  <c:v>Ρουμανία</c:v>
                </c:pt>
                <c:pt idx="26">
                  <c:v>Βουλγαρία</c:v>
                </c:pt>
                <c:pt idx="27">
                  <c:v>Εσθονία</c:v>
                </c:pt>
              </c:strCache>
            </c:strRef>
          </c:cat>
          <c:val>
            <c:numRef>
              <c:f>'ΓΡΑΦΗΜΑ 2'!$L$52:$L$79</c:f>
              <c:numCache>
                <c:formatCode>#,##0.##########</c:formatCode>
                <c:ptCount val="28"/>
                <c:pt idx="0">
                  <c:v>17011.599999999999</c:v>
                </c:pt>
                <c:pt idx="1">
                  <c:v>13114.71</c:v>
                </c:pt>
                <c:pt idx="2">
                  <c:v>13096.57</c:v>
                </c:pt>
                <c:pt idx="3">
                  <c:v>12755.21</c:v>
                </c:pt>
                <c:pt idx="4">
                  <c:v>12382.86</c:v>
                </c:pt>
                <c:pt idx="5">
                  <c:v>12082.56</c:v>
                </c:pt>
                <c:pt idx="6">
                  <c:v>11522.62</c:v>
                </c:pt>
                <c:pt idx="7">
                  <c:v>11174.04</c:v>
                </c:pt>
                <c:pt idx="8">
                  <c:v>10987</c:v>
                </c:pt>
                <c:pt idx="9">
                  <c:v>10062.91</c:v>
                </c:pt>
                <c:pt idx="10">
                  <c:v>10012.629999999999</c:v>
                </c:pt>
                <c:pt idx="11">
                  <c:v>7997.23</c:v>
                </c:pt>
                <c:pt idx="12">
                  <c:v>7957.88</c:v>
                </c:pt>
                <c:pt idx="13">
                  <c:v>7445.55</c:v>
                </c:pt>
                <c:pt idx="14">
                  <c:v>6744.17</c:v>
                </c:pt>
                <c:pt idx="15">
                  <c:v>6589.04</c:v>
                </c:pt>
                <c:pt idx="16">
                  <c:v>6494</c:v>
                </c:pt>
                <c:pt idx="17">
                  <c:v>6371.5</c:v>
                </c:pt>
                <c:pt idx="18">
                  <c:v>5696.94</c:v>
                </c:pt>
                <c:pt idx="19">
                  <c:v>5350.43</c:v>
                </c:pt>
                <c:pt idx="20">
                  <c:v>5328.71</c:v>
                </c:pt>
                <c:pt idx="21">
                  <c:v>5304.28</c:v>
                </c:pt>
                <c:pt idx="22">
                  <c:v>4744.0600000000004</c:v>
                </c:pt>
                <c:pt idx="23">
                  <c:v>4731.03</c:v>
                </c:pt>
                <c:pt idx="24">
                  <c:v>4632.4799999999996</c:v>
                </c:pt>
                <c:pt idx="25">
                  <c:v>4587.62</c:v>
                </c:pt>
                <c:pt idx="26">
                  <c:v>4567.6400000000003</c:v>
                </c:pt>
                <c:pt idx="27">
                  <c:v>4513.58</c:v>
                </c:pt>
              </c:numCache>
            </c:numRef>
          </c:val>
          <c:extLst>
            <c:ext xmlns:c16="http://schemas.microsoft.com/office/drawing/2014/chart" uri="{C3380CC4-5D6E-409C-BE32-E72D297353CC}">
              <c16:uniqueId val="{0000001E-E4B5-45C8-9161-01B52861DB83}"/>
            </c:ext>
          </c:extLst>
        </c:ser>
        <c:dLbls>
          <c:showLegendKey val="0"/>
          <c:showVal val="0"/>
          <c:showCatName val="0"/>
          <c:showSerName val="0"/>
          <c:showPercent val="0"/>
          <c:showBubbleSize val="0"/>
        </c:dLbls>
        <c:gapWidth val="219"/>
        <c:axId val="582047728"/>
        <c:axId val="582049360"/>
      </c:barChart>
      <c:catAx>
        <c:axId val="58204772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chemeClr val="tx1">
                    <a:lumMod val="65000"/>
                    <a:lumOff val="35000"/>
                  </a:schemeClr>
                </a:solidFill>
                <a:latin typeface="+mj-lt"/>
                <a:ea typeface="+mn-ea"/>
                <a:cs typeface="+mn-cs"/>
              </a:defRPr>
            </a:pPr>
            <a:endParaRPr lang="el-GR"/>
          </a:p>
        </c:txPr>
        <c:crossAx val="582049360"/>
        <c:crosses val="autoZero"/>
        <c:auto val="1"/>
        <c:lblAlgn val="ctr"/>
        <c:lblOffset val="100"/>
        <c:noMultiLvlLbl val="0"/>
      </c:catAx>
      <c:valAx>
        <c:axId val="582049360"/>
        <c:scaling>
          <c:orientation val="minMax"/>
          <c:max val="17500"/>
          <c:min val="3000"/>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lang="en-US" sz="1100" b="0" i="0" u="none" strike="noStrike" kern="1200" baseline="0">
                <a:solidFill>
                  <a:schemeClr val="tx1">
                    <a:lumMod val="65000"/>
                    <a:lumOff val="35000"/>
                  </a:schemeClr>
                </a:solidFill>
                <a:latin typeface="+mj-lt"/>
                <a:ea typeface="+mn-ea"/>
                <a:cs typeface="+mn-cs"/>
              </a:defRPr>
            </a:pPr>
            <a:endParaRPr lang="el-GR"/>
          </a:p>
        </c:txPr>
        <c:crossAx val="582047728"/>
        <c:crosses val="autoZero"/>
        <c:crossBetween val="between"/>
        <c:majorUnit val="2000"/>
      </c:valAx>
      <c:spPr>
        <a:noFill/>
        <a:ln>
          <a:noFill/>
        </a:ln>
        <a:effectLst/>
      </c:spPr>
    </c:plotArea>
    <c:plotVisOnly val="1"/>
    <c:dispBlanksAs val="gap"/>
    <c:showDLblsOverMax val="0"/>
    <c:extLst>
      <c:ext uri="{0b15fc19-7d7d-44ad-8c2d-2c3a37ce22c3}">
        <chartProps xmlns="https://web.wps.cn/et/2018/main" chartId="{c4d423ab-34f4-4c9e-8a14-9d955d29cb1d}"/>
      </c:ext>
    </c:extLst>
  </c:chart>
  <c:spPr>
    <a:solidFill>
      <a:schemeClr val="bg1"/>
    </a:solidFill>
    <a:ln w="9525" cap="flat" cmpd="sng" algn="ctr">
      <a:noFill/>
      <a:round/>
    </a:ln>
    <a:effectLst/>
  </c:spPr>
  <c:txPr>
    <a:bodyPr/>
    <a:lstStyle/>
    <a:p>
      <a:pPr>
        <a:defRPr lang="en-US"/>
      </a:pPr>
      <a:endParaRPr lang="el-G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bg1">
                <a:lumMod val="50000"/>
              </a:schemeClr>
            </a:solidFill>
            <a:ln>
              <a:noFill/>
            </a:ln>
            <a:effectLst/>
          </c:spPr>
          <c:invertIfNegative val="0"/>
          <c:dPt>
            <c:idx val="7"/>
            <c:invertIfNegative val="0"/>
            <c:bubble3D val="0"/>
            <c:spPr>
              <a:solidFill>
                <a:srgbClr val="0070C0"/>
              </a:solidFill>
              <a:ln>
                <a:noFill/>
              </a:ln>
              <a:effectLst/>
            </c:spPr>
            <c:extLst>
              <c:ext xmlns:c16="http://schemas.microsoft.com/office/drawing/2014/chart" uri="{C3380CC4-5D6E-409C-BE32-E72D297353CC}">
                <c16:uniqueId val="{00000001-83A8-4095-A9D3-0707C9C0A0D9}"/>
              </c:ext>
            </c:extLst>
          </c:dPt>
          <c:dPt>
            <c:idx val="13"/>
            <c:invertIfNegative val="0"/>
            <c:bubble3D val="0"/>
            <c:spPr>
              <a:solidFill>
                <a:srgbClr val="FFC000"/>
              </a:solidFill>
              <a:ln>
                <a:noFill/>
              </a:ln>
              <a:effectLst/>
            </c:spPr>
            <c:extLst>
              <c:ext xmlns:c16="http://schemas.microsoft.com/office/drawing/2014/chart" uri="{C3380CC4-5D6E-409C-BE32-E72D297353CC}">
                <c16:uniqueId val="{00000003-83A8-4095-A9D3-0707C9C0A0D9}"/>
              </c:ext>
            </c:extLst>
          </c:dPt>
          <c:dLbls>
            <c:dLbl>
              <c:idx val="0"/>
              <c:delete val="1"/>
              <c:extLst>
                <c:ext xmlns:c15="http://schemas.microsoft.com/office/drawing/2012/chart" uri="{CE6537A1-D6FC-4f65-9D91-7224C49458BB}"/>
                <c:ext xmlns:c16="http://schemas.microsoft.com/office/drawing/2014/chart" uri="{C3380CC4-5D6E-409C-BE32-E72D297353CC}">
                  <c16:uniqueId val="{00000004-83A8-4095-A9D3-0707C9C0A0D9}"/>
                </c:ext>
              </c:extLst>
            </c:dLbl>
            <c:dLbl>
              <c:idx val="1"/>
              <c:delete val="1"/>
              <c:extLst>
                <c:ext xmlns:c15="http://schemas.microsoft.com/office/drawing/2012/chart" uri="{CE6537A1-D6FC-4f65-9D91-7224C49458BB}"/>
                <c:ext xmlns:c16="http://schemas.microsoft.com/office/drawing/2014/chart" uri="{C3380CC4-5D6E-409C-BE32-E72D297353CC}">
                  <c16:uniqueId val="{00000005-83A8-4095-A9D3-0707C9C0A0D9}"/>
                </c:ext>
              </c:extLst>
            </c:dLbl>
            <c:dLbl>
              <c:idx val="2"/>
              <c:delete val="1"/>
              <c:extLst>
                <c:ext xmlns:c15="http://schemas.microsoft.com/office/drawing/2012/chart" uri="{CE6537A1-D6FC-4f65-9D91-7224C49458BB}"/>
                <c:ext xmlns:c16="http://schemas.microsoft.com/office/drawing/2014/chart" uri="{C3380CC4-5D6E-409C-BE32-E72D297353CC}">
                  <c16:uniqueId val="{00000006-83A8-4095-A9D3-0707C9C0A0D9}"/>
                </c:ext>
              </c:extLst>
            </c:dLbl>
            <c:dLbl>
              <c:idx val="3"/>
              <c:delete val="1"/>
              <c:extLst>
                <c:ext xmlns:c15="http://schemas.microsoft.com/office/drawing/2012/chart" uri="{CE6537A1-D6FC-4f65-9D91-7224C49458BB}"/>
                <c:ext xmlns:c16="http://schemas.microsoft.com/office/drawing/2014/chart" uri="{C3380CC4-5D6E-409C-BE32-E72D297353CC}">
                  <c16:uniqueId val="{00000007-83A8-4095-A9D3-0707C9C0A0D9}"/>
                </c:ext>
              </c:extLst>
            </c:dLbl>
            <c:dLbl>
              <c:idx val="4"/>
              <c:delete val="1"/>
              <c:extLst>
                <c:ext xmlns:c15="http://schemas.microsoft.com/office/drawing/2012/chart" uri="{CE6537A1-D6FC-4f65-9D91-7224C49458BB}"/>
                <c:ext xmlns:c16="http://schemas.microsoft.com/office/drawing/2014/chart" uri="{C3380CC4-5D6E-409C-BE32-E72D297353CC}">
                  <c16:uniqueId val="{00000008-83A8-4095-A9D3-0707C9C0A0D9}"/>
                </c:ext>
              </c:extLst>
            </c:dLbl>
            <c:dLbl>
              <c:idx val="5"/>
              <c:delete val="1"/>
              <c:extLst>
                <c:ext xmlns:c15="http://schemas.microsoft.com/office/drawing/2012/chart" uri="{CE6537A1-D6FC-4f65-9D91-7224C49458BB}"/>
                <c:ext xmlns:c16="http://schemas.microsoft.com/office/drawing/2014/chart" uri="{C3380CC4-5D6E-409C-BE32-E72D297353CC}">
                  <c16:uniqueId val="{00000009-83A8-4095-A9D3-0707C9C0A0D9}"/>
                </c:ext>
              </c:extLst>
            </c:dLbl>
            <c:dLbl>
              <c:idx val="6"/>
              <c:delete val="1"/>
              <c:extLst>
                <c:ext xmlns:c15="http://schemas.microsoft.com/office/drawing/2012/chart" uri="{CE6537A1-D6FC-4f65-9D91-7224C49458BB}"/>
                <c:ext xmlns:c16="http://schemas.microsoft.com/office/drawing/2014/chart" uri="{C3380CC4-5D6E-409C-BE32-E72D297353CC}">
                  <c16:uniqueId val="{0000000A-83A8-4095-A9D3-0707C9C0A0D9}"/>
                </c:ext>
              </c:extLst>
            </c:dLbl>
            <c:dLbl>
              <c:idx val="7"/>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3A8-4095-A9D3-0707C9C0A0D9}"/>
                </c:ext>
              </c:extLst>
            </c:dLbl>
            <c:dLbl>
              <c:idx val="8"/>
              <c:delete val="1"/>
              <c:extLst>
                <c:ext xmlns:c15="http://schemas.microsoft.com/office/drawing/2012/chart" uri="{CE6537A1-D6FC-4f65-9D91-7224C49458BB}"/>
                <c:ext xmlns:c16="http://schemas.microsoft.com/office/drawing/2014/chart" uri="{C3380CC4-5D6E-409C-BE32-E72D297353CC}">
                  <c16:uniqueId val="{0000000B-83A8-4095-A9D3-0707C9C0A0D9}"/>
                </c:ext>
              </c:extLst>
            </c:dLbl>
            <c:dLbl>
              <c:idx val="9"/>
              <c:delete val="1"/>
              <c:extLst>
                <c:ext xmlns:c15="http://schemas.microsoft.com/office/drawing/2012/chart" uri="{CE6537A1-D6FC-4f65-9D91-7224C49458BB}"/>
                <c:ext xmlns:c16="http://schemas.microsoft.com/office/drawing/2014/chart" uri="{C3380CC4-5D6E-409C-BE32-E72D297353CC}">
                  <c16:uniqueId val="{0000000C-83A8-4095-A9D3-0707C9C0A0D9}"/>
                </c:ext>
              </c:extLst>
            </c:dLbl>
            <c:dLbl>
              <c:idx val="10"/>
              <c:delete val="1"/>
              <c:extLst>
                <c:ext xmlns:c15="http://schemas.microsoft.com/office/drawing/2012/chart" uri="{CE6537A1-D6FC-4f65-9D91-7224C49458BB}"/>
                <c:ext xmlns:c16="http://schemas.microsoft.com/office/drawing/2014/chart" uri="{C3380CC4-5D6E-409C-BE32-E72D297353CC}">
                  <c16:uniqueId val="{0000000D-83A8-4095-A9D3-0707C9C0A0D9}"/>
                </c:ext>
              </c:extLst>
            </c:dLbl>
            <c:dLbl>
              <c:idx val="11"/>
              <c:delete val="1"/>
              <c:extLst>
                <c:ext xmlns:c15="http://schemas.microsoft.com/office/drawing/2012/chart" uri="{CE6537A1-D6FC-4f65-9D91-7224C49458BB}"/>
                <c:ext xmlns:c16="http://schemas.microsoft.com/office/drawing/2014/chart" uri="{C3380CC4-5D6E-409C-BE32-E72D297353CC}">
                  <c16:uniqueId val="{0000000E-83A8-4095-A9D3-0707C9C0A0D9}"/>
                </c:ext>
              </c:extLst>
            </c:dLbl>
            <c:dLbl>
              <c:idx val="12"/>
              <c:delete val="1"/>
              <c:extLst>
                <c:ext xmlns:c15="http://schemas.microsoft.com/office/drawing/2012/chart" uri="{CE6537A1-D6FC-4f65-9D91-7224C49458BB}"/>
                <c:ext xmlns:c16="http://schemas.microsoft.com/office/drawing/2014/chart" uri="{C3380CC4-5D6E-409C-BE32-E72D297353CC}">
                  <c16:uniqueId val="{0000000F-83A8-4095-A9D3-0707C9C0A0D9}"/>
                </c:ext>
              </c:extLst>
            </c:dLbl>
            <c:dLbl>
              <c:idx val="13"/>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3A8-4095-A9D3-0707C9C0A0D9}"/>
                </c:ext>
              </c:extLst>
            </c:dLbl>
            <c:dLbl>
              <c:idx val="14"/>
              <c:delete val="1"/>
              <c:extLst>
                <c:ext xmlns:c15="http://schemas.microsoft.com/office/drawing/2012/chart" uri="{CE6537A1-D6FC-4f65-9D91-7224C49458BB}"/>
                <c:ext xmlns:c16="http://schemas.microsoft.com/office/drawing/2014/chart" uri="{C3380CC4-5D6E-409C-BE32-E72D297353CC}">
                  <c16:uniqueId val="{00000010-83A8-4095-A9D3-0707C9C0A0D9}"/>
                </c:ext>
              </c:extLst>
            </c:dLbl>
            <c:dLbl>
              <c:idx val="15"/>
              <c:delete val="1"/>
              <c:extLst>
                <c:ext xmlns:c15="http://schemas.microsoft.com/office/drawing/2012/chart" uri="{CE6537A1-D6FC-4f65-9D91-7224C49458BB}"/>
                <c:ext xmlns:c16="http://schemas.microsoft.com/office/drawing/2014/chart" uri="{C3380CC4-5D6E-409C-BE32-E72D297353CC}">
                  <c16:uniqueId val="{00000011-83A8-4095-A9D3-0707C9C0A0D9}"/>
                </c:ext>
              </c:extLst>
            </c:dLbl>
            <c:dLbl>
              <c:idx val="16"/>
              <c:delete val="1"/>
              <c:extLst>
                <c:ext xmlns:c15="http://schemas.microsoft.com/office/drawing/2012/chart" uri="{CE6537A1-D6FC-4f65-9D91-7224C49458BB}"/>
                <c:ext xmlns:c16="http://schemas.microsoft.com/office/drawing/2014/chart" uri="{C3380CC4-5D6E-409C-BE32-E72D297353CC}">
                  <c16:uniqueId val="{00000012-83A8-4095-A9D3-0707C9C0A0D9}"/>
                </c:ext>
              </c:extLst>
            </c:dLbl>
            <c:dLbl>
              <c:idx val="17"/>
              <c:delete val="1"/>
              <c:extLst>
                <c:ext xmlns:c15="http://schemas.microsoft.com/office/drawing/2012/chart" uri="{CE6537A1-D6FC-4f65-9D91-7224C49458BB}"/>
                <c:ext xmlns:c16="http://schemas.microsoft.com/office/drawing/2014/chart" uri="{C3380CC4-5D6E-409C-BE32-E72D297353CC}">
                  <c16:uniqueId val="{00000013-83A8-4095-A9D3-0707C9C0A0D9}"/>
                </c:ext>
              </c:extLst>
            </c:dLbl>
            <c:dLbl>
              <c:idx val="18"/>
              <c:delete val="1"/>
              <c:extLst>
                <c:ext xmlns:c15="http://schemas.microsoft.com/office/drawing/2012/chart" uri="{CE6537A1-D6FC-4f65-9D91-7224C49458BB}"/>
                <c:ext xmlns:c16="http://schemas.microsoft.com/office/drawing/2014/chart" uri="{C3380CC4-5D6E-409C-BE32-E72D297353CC}">
                  <c16:uniqueId val="{00000014-83A8-4095-A9D3-0707C9C0A0D9}"/>
                </c:ext>
              </c:extLst>
            </c:dLbl>
            <c:dLbl>
              <c:idx val="19"/>
              <c:delete val="1"/>
              <c:extLst>
                <c:ext xmlns:c15="http://schemas.microsoft.com/office/drawing/2012/chart" uri="{CE6537A1-D6FC-4f65-9D91-7224C49458BB}"/>
                <c:ext xmlns:c16="http://schemas.microsoft.com/office/drawing/2014/chart" uri="{C3380CC4-5D6E-409C-BE32-E72D297353CC}">
                  <c16:uniqueId val="{00000015-83A8-4095-A9D3-0707C9C0A0D9}"/>
                </c:ext>
              </c:extLst>
            </c:dLbl>
            <c:dLbl>
              <c:idx val="20"/>
              <c:delete val="1"/>
              <c:extLst>
                <c:ext xmlns:c15="http://schemas.microsoft.com/office/drawing/2012/chart" uri="{CE6537A1-D6FC-4f65-9D91-7224C49458BB}"/>
                <c:ext xmlns:c16="http://schemas.microsoft.com/office/drawing/2014/chart" uri="{C3380CC4-5D6E-409C-BE32-E72D297353CC}">
                  <c16:uniqueId val="{00000016-83A8-4095-A9D3-0707C9C0A0D9}"/>
                </c:ext>
              </c:extLst>
            </c:dLbl>
            <c:dLbl>
              <c:idx val="21"/>
              <c:delete val="1"/>
              <c:extLst>
                <c:ext xmlns:c15="http://schemas.microsoft.com/office/drawing/2012/chart" uri="{CE6537A1-D6FC-4f65-9D91-7224C49458BB}"/>
                <c:ext xmlns:c16="http://schemas.microsoft.com/office/drawing/2014/chart" uri="{C3380CC4-5D6E-409C-BE32-E72D297353CC}">
                  <c16:uniqueId val="{00000017-83A8-4095-A9D3-0707C9C0A0D9}"/>
                </c:ext>
              </c:extLst>
            </c:dLbl>
            <c:dLbl>
              <c:idx val="22"/>
              <c:delete val="1"/>
              <c:extLst>
                <c:ext xmlns:c15="http://schemas.microsoft.com/office/drawing/2012/chart" uri="{CE6537A1-D6FC-4f65-9D91-7224C49458BB}"/>
                <c:ext xmlns:c16="http://schemas.microsoft.com/office/drawing/2014/chart" uri="{C3380CC4-5D6E-409C-BE32-E72D297353CC}">
                  <c16:uniqueId val="{00000018-83A8-4095-A9D3-0707C9C0A0D9}"/>
                </c:ext>
              </c:extLst>
            </c:dLbl>
            <c:dLbl>
              <c:idx val="23"/>
              <c:delete val="1"/>
              <c:extLst>
                <c:ext xmlns:c15="http://schemas.microsoft.com/office/drawing/2012/chart" uri="{CE6537A1-D6FC-4f65-9D91-7224C49458BB}"/>
                <c:ext xmlns:c16="http://schemas.microsoft.com/office/drawing/2014/chart" uri="{C3380CC4-5D6E-409C-BE32-E72D297353CC}">
                  <c16:uniqueId val="{00000019-83A8-4095-A9D3-0707C9C0A0D9}"/>
                </c:ext>
              </c:extLst>
            </c:dLbl>
            <c:dLbl>
              <c:idx val="24"/>
              <c:delete val="1"/>
              <c:extLst>
                <c:ext xmlns:c15="http://schemas.microsoft.com/office/drawing/2012/chart" uri="{CE6537A1-D6FC-4f65-9D91-7224C49458BB}"/>
                <c:ext xmlns:c16="http://schemas.microsoft.com/office/drawing/2014/chart" uri="{C3380CC4-5D6E-409C-BE32-E72D297353CC}">
                  <c16:uniqueId val="{0000001A-83A8-4095-A9D3-0707C9C0A0D9}"/>
                </c:ext>
              </c:extLst>
            </c:dLbl>
            <c:dLbl>
              <c:idx val="25"/>
              <c:delete val="1"/>
              <c:extLst>
                <c:ext xmlns:c15="http://schemas.microsoft.com/office/drawing/2012/chart" uri="{CE6537A1-D6FC-4f65-9D91-7224C49458BB}"/>
                <c:ext xmlns:c16="http://schemas.microsoft.com/office/drawing/2014/chart" uri="{C3380CC4-5D6E-409C-BE32-E72D297353CC}">
                  <c16:uniqueId val="{0000001B-83A8-4095-A9D3-0707C9C0A0D9}"/>
                </c:ext>
              </c:extLst>
            </c:dLbl>
            <c:dLbl>
              <c:idx val="26"/>
              <c:delete val="1"/>
              <c:extLst>
                <c:ext xmlns:c15="http://schemas.microsoft.com/office/drawing/2012/chart" uri="{CE6537A1-D6FC-4f65-9D91-7224C49458BB}"/>
                <c:ext xmlns:c16="http://schemas.microsoft.com/office/drawing/2014/chart" uri="{C3380CC4-5D6E-409C-BE32-E72D297353CC}">
                  <c16:uniqueId val="{0000001C-83A8-4095-A9D3-0707C9C0A0D9}"/>
                </c:ext>
              </c:extLst>
            </c:dLbl>
            <c:dLbl>
              <c:idx val="27"/>
              <c:delete val="1"/>
              <c:extLst>
                <c:ext xmlns:c15="http://schemas.microsoft.com/office/drawing/2012/chart" uri="{CE6537A1-D6FC-4f65-9D91-7224C49458BB}"/>
                <c:ext xmlns:c16="http://schemas.microsoft.com/office/drawing/2014/chart" uri="{C3380CC4-5D6E-409C-BE32-E72D297353CC}">
                  <c16:uniqueId val="{0000001D-83A8-4095-A9D3-0707C9C0A0D9}"/>
                </c:ext>
              </c:extLst>
            </c:dLbl>
            <c:spPr>
              <a:noFill/>
              <a:ln>
                <a:noFill/>
              </a:ln>
              <a:effectLst/>
            </c:spPr>
            <c:txPr>
              <a:bodyPr rot="0" spcFirstLastPara="1" vertOverflow="ellipsis" vert="horz" wrap="square" lIns="38100" tIns="19050" rIns="38100" bIns="19050" anchor="ctr" anchorCtr="1">
                <a:spAutoFit/>
              </a:bodyPr>
              <a:lstStyle/>
              <a:p>
                <a:pPr>
                  <a:defRPr lang="en-US" sz="1200" b="1" i="0" u="none" strike="noStrike" kern="1200" baseline="0">
                    <a:solidFill>
                      <a:schemeClr val="tx1">
                        <a:lumMod val="75000"/>
                        <a:lumOff val="25000"/>
                      </a:schemeClr>
                    </a:solidFill>
                    <a:latin typeface="+mj-lt"/>
                    <a:ea typeface="+mn-ea"/>
                    <a:cs typeface="+mn-cs"/>
                  </a:defRPr>
                </a:pPr>
                <a:endParaRPr lang="el-GR"/>
              </a:p>
            </c:txPr>
            <c:dLblPos val="outEnd"/>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3'!$F$9:$F$36</c:f>
              <c:strCache>
                <c:ptCount val="28"/>
                <c:pt idx="0">
                  <c:v>Γαλλία</c:v>
                </c:pt>
                <c:pt idx="1">
                  <c:v>Αυστρία</c:v>
                </c:pt>
                <c:pt idx="2">
                  <c:v>Φινλανδία</c:v>
                </c:pt>
                <c:pt idx="3">
                  <c:v>Γερμανία</c:v>
                </c:pt>
                <c:pt idx="4">
                  <c:v>Ιταλία</c:v>
                </c:pt>
                <c:pt idx="5">
                  <c:v>Βέλγιο</c:v>
                </c:pt>
                <c:pt idx="6">
                  <c:v>Δανία</c:v>
                </c:pt>
                <c:pt idx="7">
                  <c:v>ΕΕ - 27 (από το 2020)</c:v>
                </c:pt>
                <c:pt idx="8">
                  <c:v>Σουηδία</c:v>
                </c:pt>
                <c:pt idx="9">
                  <c:v>Ολλανδία</c:v>
                </c:pt>
                <c:pt idx="10">
                  <c:v>Ισπανία</c:v>
                </c:pt>
                <c:pt idx="11">
                  <c:v>Πορτογαλία</c:v>
                </c:pt>
                <c:pt idx="12">
                  <c:v>Σλοβενία</c:v>
                </c:pt>
                <c:pt idx="13">
                  <c:v>Ελλάδα</c:v>
                </c:pt>
                <c:pt idx="14">
                  <c:v>Λουξεμβούργο</c:v>
                </c:pt>
                <c:pt idx="15">
                  <c:v>Πολωνία</c:v>
                </c:pt>
                <c:pt idx="16">
                  <c:v>Κροατία</c:v>
                </c:pt>
                <c:pt idx="17">
                  <c:v>Τσεχία</c:v>
                </c:pt>
                <c:pt idx="18">
                  <c:v>Κύπρος</c:v>
                </c:pt>
                <c:pt idx="19">
                  <c:v>Λετονία</c:v>
                </c:pt>
                <c:pt idx="20">
                  <c:v>Βουλγαρία</c:v>
                </c:pt>
                <c:pt idx="21">
                  <c:v>Σλοβακία</c:v>
                </c:pt>
                <c:pt idx="22">
                  <c:v>Ουγγαρία</c:v>
                </c:pt>
                <c:pt idx="23">
                  <c:v>Λιθουανία</c:v>
                </c:pt>
                <c:pt idx="24">
                  <c:v>Ρουμανία</c:v>
                </c:pt>
                <c:pt idx="25">
                  <c:v>Εσθονία</c:v>
                </c:pt>
                <c:pt idx="26">
                  <c:v>Μάλτα</c:v>
                </c:pt>
                <c:pt idx="27">
                  <c:v>Ιρλανδία</c:v>
                </c:pt>
              </c:strCache>
            </c:strRef>
          </c:cat>
          <c:val>
            <c:numRef>
              <c:f>'ΓΡΑΦΗΜΑ 3'!$G$9:$G$36</c:f>
              <c:numCache>
                <c:formatCode>#,##0.##########</c:formatCode>
                <c:ptCount val="28"/>
                <c:pt idx="0">
                  <c:v>33.979999999999997</c:v>
                </c:pt>
                <c:pt idx="1">
                  <c:v>30.45</c:v>
                </c:pt>
                <c:pt idx="2">
                  <c:v>30.08</c:v>
                </c:pt>
                <c:pt idx="3">
                  <c:v>30.01</c:v>
                </c:pt>
                <c:pt idx="4">
                  <c:v>29.75</c:v>
                </c:pt>
                <c:pt idx="5">
                  <c:v>28.55</c:v>
                </c:pt>
                <c:pt idx="6">
                  <c:v>28.06</c:v>
                </c:pt>
                <c:pt idx="7">
                  <c:v>27.85</c:v>
                </c:pt>
                <c:pt idx="8">
                  <c:v>27.23</c:v>
                </c:pt>
                <c:pt idx="9">
                  <c:v>27.12</c:v>
                </c:pt>
                <c:pt idx="10">
                  <c:v>25.87</c:v>
                </c:pt>
                <c:pt idx="11">
                  <c:v>24.67</c:v>
                </c:pt>
                <c:pt idx="12">
                  <c:v>24.25</c:v>
                </c:pt>
                <c:pt idx="13">
                  <c:v>24.14</c:v>
                </c:pt>
                <c:pt idx="14">
                  <c:v>22.18</c:v>
                </c:pt>
                <c:pt idx="15">
                  <c:v>20.95</c:v>
                </c:pt>
                <c:pt idx="16">
                  <c:v>20.9</c:v>
                </c:pt>
                <c:pt idx="17">
                  <c:v>19.940000000000001</c:v>
                </c:pt>
                <c:pt idx="18">
                  <c:v>19.809999999999999</c:v>
                </c:pt>
                <c:pt idx="19">
                  <c:v>18.86</c:v>
                </c:pt>
                <c:pt idx="20">
                  <c:v>18.64</c:v>
                </c:pt>
                <c:pt idx="21">
                  <c:v>18.18</c:v>
                </c:pt>
                <c:pt idx="22">
                  <c:v>16.670000000000002</c:v>
                </c:pt>
                <c:pt idx="23">
                  <c:v>16.59</c:v>
                </c:pt>
                <c:pt idx="24">
                  <c:v>16.5</c:v>
                </c:pt>
                <c:pt idx="25">
                  <c:v>15.74</c:v>
                </c:pt>
                <c:pt idx="26">
                  <c:v>14.41</c:v>
                </c:pt>
                <c:pt idx="27">
                  <c:v>11.37</c:v>
                </c:pt>
              </c:numCache>
            </c:numRef>
          </c:val>
          <c:extLst>
            <c:ext xmlns:c16="http://schemas.microsoft.com/office/drawing/2014/chart" uri="{C3380CC4-5D6E-409C-BE32-E72D297353CC}">
              <c16:uniqueId val="{0000001E-83A8-4095-A9D3-0707C9C0A0D9}"/>
            </c:ext>
          </c:extLst>
        </c:ser>
        <c:dLbls>
          <c:showLegendKey val="0"/>
          <c:showVal val="0"/>
          <c:showCatName val="0"/>
          <c:showSerName val="0"/>
          <c:showPercent val="0"/>
          <c:showBubbleSize val="0"/>
        </c:dLbls>
        <c:gapWidth val="219"/>
        <c:axId val="582053168"/>
        <c:axId val="582046096"/>
      </c:barChart>
      <c:catAx>
        <c:axId val="58205316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chemeClr val="tx1">
                    <a:lumMod val="65000"/>
                    <a:lumOff val="35000"/>
                  </a:schemeClr>
                </a:solidFill>
                <a:latin typeface="+mj-lt"/>
                <a:ea typeface="+mn-ea"/>
                <a:cs typeface="+mn-cs"/>
              </a:defRPr>
            </a:pPr>
            <a:endParaRPr lang="el-GR"/>
          </a:p>
        </c:txPr>
        <c:crossAx val="582046096"/>
        <c:crosses val="autoZero"/>
        <c:auto val="1"/>
        <c:lblAlgn val="ctr"/>
        <c:lblOffset val="100"/>
        <c:noMultiLvlLbl val="0"/>
      </c:catAx>
      <c:valAx>
        <c:axId val="582046096"/>
        <c:scaling>
          <c:orientation val="minMax"/>
          <c:max val="35"/>
        </c:scaling>
        <c:delete val="0"/>
        <c:axPos val="t"/>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lang="en-US" sz="1100" b="0" i="0" u="none" strike="noStrike" kern="1200" baseline="0">
                <a:solidFill>
                  <a:schemeClr val="tx1">
                    <a:lumMod val="65000"/>
                    <a:lumOff val="35000"/>
                  </a:schemeClr>
                </a:solidFill>
                <a:latin typeface="+mj-lt"/>
                <a:ea typeface="+mn-ea"/>
                <a:cs typeface="+mn-cs"/>
              </a:defRPr>
            </a:pPr>
            <a:endParaRPr lang="el-GR"/>
          </a:p>
        </c:txPr>
        <c:crossAx val="582053168"/>
        <c:crosses val="autoZero"/>
        <c:crossBetween val="between"/>
      </c:valAx>
      <c:spPr>
        <a:noFill/>
        <a:ln>
          <a:noFill/>
        </a:ln>
        <a:effectLst/>
      </c:spPr>
    </c:plotArea>
    <c:plotVisOnly val="1"/>
    <c:dispBlanksAs val="gap"/>
    <c:showDLblsOverMax val="0"/>
    <c:extLst>
      <c:ext uri="{0b15fc19-7d7d-44ad-8c2d-2c3a37ce22c3}">
        <chartProps xmlns="https://web.wps.cn/et/2018/main" chartId="{f37a49fc-0e5c-47fe-8fe9-40b7ac2e74a6}"/>
      </c:ext>
    </c:extLst>
  </c:chart>
  <c:spPr>
    <a:solidFill>
      <a:schemeClr val="bg1"/>
    </a:solidFill>
    <a:ln w="9525" cap="flat" cmpd="sng" algn="ctr">
      <a:noFill/>
      <a:round/>
    </a:ln>
    <a:effectLst/>
  </c:spPr>
  <c:txPr>
    <a:bodyPr/>
    <a:lstStyle/>
    <a:p>
      <a:pPr>
        <a:defRPr lang="en-US"/>
      </a:pPr>
      <a:endParaRPr lang="el-G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tx1">
                <a:lumMod val="50000"/>
                <a:lumOff val="50000"/>
              </a:schemeClr>
            </a:solidFill>
            <a:ln>
              <a:noFill/>
            </a:ln>
            <a:effectLst/>
          </c:spPr>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1-3482-4A3F-B9B1-6A2DADF0FEA5}"/>
              </c:ext>
            </c:extLst>
          </c:dPt>
          <c:dPt>
            <c:idx val="13"/>
            <c:invertIfNegative val="0"/>
            <c:bubble3D val="0"/>
            <c:spPr>
              <a:solidFill>
                <a:srgbClr val="0070C0"/>
              </a:solidFill>
              <a:ln>
                <a:noFill/>
              </a:ln>
              <a:effectLst/>
            </c:spPr>
            <c:extLst>
              <c:ext xmlns:c16="http://schemas.microsoft.com/office/drawing/2014/chart" uri="{C3380CC4-5D6E-409C-BE32-E72D297353CC}">
                <c16:uniqueId val="{00000003-3482-4A3F-B9B1-6A2DADF0FEA5}"/>
              </c:ext>
            </c:extLst>
          </c:dPt>
          <c:dLbls>
            <c:dLbl>
              <c:idx val="0"/>
              <c:spPr>
                <a:noFill/>
                <a:ln>
                  <a:noFill/>
                </a:ln>
                <a:effectLst/>
              </c:spPr>
              <c:txPr>
                <a:bodyPr rot="0" spcFirstLastPara="1" vertOverflow="ellipsis" vert="horz" wrap="square" lIns="38100" tIns="19050" rIns="38100" bIns="19050" anchor="ctr" anchorCtr="1">
                  <a:spAutoFit/>
                </a:bodyPr>
                <a:lstStyle/>
                <a:p>
                  <a:pPr>
                    <a:defRPr lang="en-US" sz="1200" b="1" i="0" u="none" strike="noStrike" kern="1200" baseline="0">
                      <a:solidFill>
                        <a:schemeClr val="tx1">
                          <a:lumMod val="75000"/>
                          <a:lumOff val="25000"/>
                        </a:schemeClr>
                      </a:solidFill>
                      <a:latin typeface="+mj-lt"/>
                      <a:ea typeface="+mn-ea"/>
                      <a:cs typeface="+mn-cs"/>
                    </a:defRPr>
                  </a:pPr>
                  <a:endParaRPr lang="el-GR"/>
                </a:p>
              </c:txPr>
              <c:showLegendKey val="0"/>
              <c:showVal val="1"/>
              <c:showCatName val="0"/>
              <c:showSerName val="0"/>
              <c:showPercent val="0"/>
              <c:showBubbleSize val="0"/>
              <c:extLst>
                <c:ext xmlns:c16="http://schemas.microsoft.com/office/drawing/2014/chart" uri="{C3380CC4-5D6E-409C-BE32-E72D297353CC}">
                  <c16:uniqueId val="{00000001-3482-4A3F-B9B1-6A2DADF0FEA5}"/>
                </c:ext>
              </c:extLst>
            </c:dLbl>
            <c:dLbl>
              <c:idx val="13"/>
              <c:spPr>
                <a:noFill/>
                <a:ln>
                  <a:noFill/>
                </a:ln>
                <a:effectLst/>
              </c:spPr>
              <c:txPr>
                <a:bodyPr rot="0" spcFirstLastPara="1" vertOverflow="ellipsis" vert="horz" wrap="square" lIns="38100" tIns="19050" rIns="38100" bIns="19050" anchor="ctr" anchorCtr="1">
                  <a:spAutoFit/>
                </a:bodyPr>
                <a:lstStyle/>
                <a:p>
                  <a:pPr>
                    <a:defRPr lang="en-US" sz="1200" b="1" i="0" u="none" strike="noStrike" kern="1200" baseline="0">
                      <a:solidFill>
                        <a:schemeClr val="tx1">
                          <a:lumMod val="75000"/>
                          <a:lumOff val="25000"/>
                        </a:schemeClr>
                      </a:solidFill>
                      <a:latin typeface="+mj-lt"/>
                      <a:ea typeface="+mn-ea"/>
                      <a:cs typeface="+mn-cs"/>
                    </a:defRPr>
                  </a:pPr>
                  <a:endParaRPr lang="el-GR"/>
                </a:p>
              </c:txPr>
              <c:showLegendKey val="0"/>
              <c:showVal val="1"/>
              <c:showCatName val="0"/>
              <c:showSerName val="0"/>
              <c:showPercent val="0"/>
              <c:showBubbleSize val="0"/>
              <c:extLst>
                <c:ext xmlns:c16="http://schemas.microsoft.com/office/drawing/2014/chart" uri="{C3380CC4-5D6E-409C-BE32-E72D297353CC}">
                  <c16:uniqueId val="{00000003-3482-4A3F-B9B1-6A2DADF0FEA5}"/>
                </c:ext>
              </c:extLst>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chemeClr val="tx1">
                        <a:lumMod val="75000"/>
                        <a:lumOff val="25000"/>
                      </a:schemeClr>
                    </a:solidFill>
                    <a:latin typeface="+mj-lt"/>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4'!$C$5:$C$32</c:f>
              <c:strCache>
                <c:ptCount val="28"/>
                <c:pt idx="0">
                  <c:v>Ελλάδα</c:v>
                </c:pt>
                <c:pt idx="1">
                  <c:v>Ρουμανία</c:v>
                </c:pt>
                <c:pt idx="2">
                  <c:v>Λετονία</c:v>
                </c:pt>
                <c:pt idx="3">
                  <c:v>Κροατία</c:v>
                </c:pt>
                <c:pt idx="4">
                  <c:v>Πορτογαλία</c:v>
                </c:pt>
                <c:pt idx="5">
                  <c:v>Ισπανία</c:v>
                </c:pt>
                <c:pt idx="6">
                  <c:v>Λιθουανία</c:v>
                </c:pt>
                <c:pt idx="7">
                  <c:v>Μάλτα</c:v>
                </c:pt>
                <c:pt idx="8">
                  <c:v>Λουξεμβούργο</c:v>
                </c:pt>
                <c:pt idx="9">
                  <c:v>Βουλγαρία</c:v>
                </c:pt>
                <c:pt idx="10">
                  <c:v>Κύπρος</c:v>
                </c:pt>
                <c:pt idx="11">
                  <c:v>Ιταλία</c:v>
                </c:pt>
                <c:pt idx="12">
                  <c:v>Εσθονία</c:v>
                </c:pt>
                <c:pt idx="13">
                  <c:v>ΕΕ-27</c:v>
                </c:pt>
                <c:pt idx="14">
                  <c:v>Ουγγαρία</c:v>
                </c:pt>
                <c:pt idx="15">
                  <c:v>Γερμανία</c:v>
                </c:pt>
                <c:pt idx="16">
                  <c:v>Σλοβακία</c:v>
                </c:pt>
                <c:pt idx="17">
                  <c:v>Σλοβενία</c:v>
                </c:pt>
                <c:pt idx="18">
                  <c:v>Γαλλία</c:v>
                </c:pt>
                <c:pt idx="19">
                  <c:v>Σουηδία</c:v>
                </c:pt>
                <c:pt idx="20">
                  <c:v>Τσεχία</c:v>
                </c:pt>
                <c:pt idx="21">
                  <c:v>Αυστρία</c:v>
                </c:pt>
                <c:pt idx="22">
                  <c:v>Ολλανδία</c:v>
                </c:pt>
                <c:pt idx="23">
                  <c:v>Πολωνία</c:v>
                </c:pt>
                <c:pt idx="24">
                  <c:v>Φινλανδία</c:v>
                </c:pt>
                <c:pt idx="25">
                  <c:v>Δανία</c:v>
                </c:pt>
                <c:pt idx="26">
                  <c:v>Βέλγιο</c:v>
                </c:pt>
                <c:pt idx="27">
                  <c:v>Ιρλανδία</c:v>
                </c:pt>
              </c:strCache>
            </c:strRef>
          </c:cat>
          <c:val>
            <c:numRef>
              <c:f>'ΓΡΑΦΗΜΑ 4'!$D$5:$D$32</c:f>
              <c:numCache>
                <c:formatCode>General</c:formatCode>
                <c:ptCount val="28"/>
                <c:pt idx="0">
                  <c:v>16.600000000000001</c:v>
                </c:pt>
                <c:pt idx="1">
                  <c:v>18.8</c:v>
                </c:pt>
                <c:pt idx="2">
                  <c:v>21.45</c:v>
                </c:pt>
                <c:pt idx="3">
                  <c:v>21.62</c:v>
                </c:pt>
                <c:pt idx="4">
                  <c:v>22.43</c:v>
                </c:pt>
                <c:pt idx="5">
                  <c:v>23.94</c:v>
                </c:pt>
                <c:pt idx="6">
                  <c:v>25.86</c:v>
                </c:pt>
                <c:pt idx="7">
                  <c:v>25.99</c:v>
                </c:pt>
                <c:pt idx="8">
                  <c:v>27.02</c:v>
                </c:pt>
                <c:pt idx="9">
                  <c:v>27.67</c:v>
                </c:pt>
                <c:pt idx="10">
                  <c:v>30.48</c:v>
                </c:pt>
                <c:pt idx="11">
                  <c:v>31.27</c:v>
                </c:pt>
                <c:pt idx="12">
                  <c:v>31.53</c:v>
                </c:pt>
                <c:pt idx="13">
                  <c:v>34.409999999999997</c:v>
                </c:pt>
                <c:pt idx="14">
                  <c:v>34.96</c:v>
                </c:pt>
                <c:pt idx="15">
                  <c:v>35.68</c:v>
                </c:pt>
                <c:pt idx="16">
                  <c:v>36.68</c:v>
                </c:pt>
                <c:pt idx="17">
                  <c:v>37.74</c:v>
                </c:pt>
                <c:pt idx="18">
                  <c:v>38.85</c:v>
                </c:pt>
                <c:pt idx="19">
                  <c:v>40.56</c:v>
                </c:pt>
                <c:pt idx="20">
                  <c:v>40.630000000000003</c:v>
                </c:pt>
                <c:pt idx="21">
                  <c:v>40.659999999999997</c:v>
                </c:pt>
                <c:pt idx="22">
                  <c:v>40.98</c:v>
                </c:pt>
                <c:pt idx="23">
                  <c:v>41.53</c:v>
                </c:pt>
                <c:pt idx="24">
                  <c:v>46.38</c:v>
                </c:pt>
                <c:pt idx="25">
                  <c:v>50.43</c:v>
                </c:pt>
                <c:pt idx="26">
                  <c:v>52.67</c:v>
                </c:pt>
                <c:pt idx="27">
                  <c:v>52.87</c:v>
                </c:pt>
              </c:numCache>
            </c:numRef>
          </c:val>
          <c:extLst>
            <c:ext xmlns:c16="http://schemas.microsoft.com/office/drawing/2014/chart" uri="{C3380CC4-5D6E-409C-BE32-E72D297353CC}">
              <c16:uniqueId val="{00000004-3482-4A3F-B9B1-6A2DADF0FEA5}"/>
            </c:ext>
          </c:extLst>
        </c:ser>
        <c:dLbls>
          <c:showLegendKey val="0"/>
          <c:showVal val="0"/>
          <c:showCatName val="0"/>
          <c:showSerName val="0"/>
          <c:showPercent val="0"/>
          <c:showBubbleSize val="0"/>
        </c:dLbls>
        <c:gapWidth val="182"/>
        <c:axId val="582056432"/>
        <c:axId val="582048272"/>
      </c:barChart>
      <c:catAx>
        <c:axId val="5820564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chemeClr val="tx1">
                    <a:lumMod val="65000"/>
                    <a:lumOff val="35000"/>
                  </a:schemeClr>
                </a:solidFill>
                <a:latin typeface="+mj-lt"/>
                <a:ea typeface="+mn-ea"/>
                <a:cs typeface="+mn-cs"/>
              </a:defRPr>
            </a:pPr>
            <a:endParaRPr lang="el-GR"/>
          </a:p>
        </c:txPr>
        <c:crossAx val="582048272"/>
        <c:crosses val="autoZero"/>
        <c:auto val="1"/>
        <c:lblAlgn val="ctr"/>
        <c:lblOffset val="100"/>
        <c:noMultiLvlLbl val="0"/>
      </c:catAx>
      <c:valAx>
        <c:axId val="582048272"/>
        <c:scaling>
          <c:orientation val="minMax"/>
        </c:scaling>
        <c:delete val="1"/>
        <c:axPos val="b"/>
        <c:numFmt formatCode="General" sourceLinked="1"/>
        <c:majorTickMark val="none"/>
        <c:minorTickMark val="none"/>
        <c:tickLblPos val="nextTo"/>
        <c:crossAx val="582056432"/>
        <c:crosses val="autoZero"/>
        <c:crossBetween val="between"/>
      </c:valAx>
      <c:spPr>
        <a:noFill/>
        <a:ln>
          <a:noFill/>
        </a:ln>
        <a:effectLst/>
      </c:spPr>
    </c:plotArea>
    <c:plotVisOnly val="1"/>
    <c:dispBlanksAs val="gap"/>
    <c:showDLblsOverMax val="0"/>
    <c:extLst>
      <c:ext uri="{0b15fc19-7d7d-44ad-8c2d-2c3a37ce22c3}">
        <chartProps xmlns="https://web.wps.cn/et/2018/main" chartId="{f535d47c-6ef8-437d-8b0f-d9d4c2854662}"/>
      </c:ext>
    </c:extLst>
  </c:chart>
  <c:spPr>
    <a:solidFill>
      <a:schemeClr val="bg1"/>
    </a:solidFill>
    <a:ln w="9525" cap="flat" cmpd="sng" algn="ctr">
      <a:noFill/>
      <a:round/>
    </a:ln>
    <a:effectLst/>
  </c:spPr>
  <c:txPr>
    <a:bodyPr/>
    <a:lstStyle/>
    <a:p>
      <a:pPr>
        <a:defRPr lang="en-US"/>
      </a:pPr>
      <a:endParaRPr lang="el-G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rgbClr val="FFC000"/>
              </a:solidFill>
              <a:round/>
            </a:ln>
            <a:effectLst/>
          </c:spPr>
          <c:marker>
            <c:symbol val="none"/>
          </c:marker>
          <c:dLbls>
            <c:dLbl>
              <c:idx val="0"/>
              <c:layout>
                <c:manualLayout>
                  <c:x val="-3.8693524524866282E-2"/>
                  <c:y val="-4.82780817508850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AF9-481A-8B56-0BBF737F11A5}"/>
                </c:ext>
              </c:extLst>
            </c:dLbl>
            <c:dLbl>
              <c:idx val="1"/>
              <c:layout>
                <c:manualLayout>
                  <c:x val="-4.7797883236599524E-2"/>
                  <c:y val="5.47151593176697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AF9-481A-8B56-0BBF737F11A5}"/>
                </c:ext>
              </c:extLst>
            </c:dLbl>
            <c:dLbl>
              <c:idx val="2"/>
              <c:layout>
                <c:manualLayout>
                  <c:x val="-2.9589165813132996E-2"/>
                  <c:y val="-3.86224654007080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AF9-481A-8B56-0BBF737F11A5}"/>
                </c:ext>
              </c:extLst>
            </c:dLbl>
            <c:dLbl>
              <c:idx val="3"/>
              <c:layout>
                <c:manualLayout>
                  <c:x val="-5.4626152270399499E-2"/>
                  <c:y val="4.82780817508850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AF9-481A-8B56-0BBF737F11A5}"/>
                </c:ext>
              </c:extLst>
            </c:dLbl>
            <c:dLbl>
              <c:idx val="4"/>
              <c:layout>
                <c:manualLayout>
                  <c:x val="-5.462615227039954E-2"/>
                  <c:y val="4.18410041841002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AF9-481A-8B56-0BBF737F11A5}"/>
                </c:ext>
              </c:extLst>
            </c:dLbl>
            <c:dLbl>
              <c:idx val="5"/>
              <c:layout>
                <c:manualLayout>
                  <c:x val="-6.1454421304199383E-2"/>
                  <c:y val="3.54039266173157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AF9-481A-8B56-0BBF737F11A5}"/>
                </c:ext>
              </c:extLst>
            </c:dLbl>
            <c:dLbl>
              <c:idx val="6"/>
              <c:layout>
                <c:manualLayout>
                  <c:x val="-4.7797883236599524E-2"/>
                  <c:y val="4.50595429674926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AF9-481A-8B56-0BBF737F11A5}"/>
                </c:ext>
              </c:extLst>
            </c:dLbl>
            <c:dLbl>
              <c:idx val="7"/>
              <c:layout>
                <c:manualLayout>
                  <c:x val="-4.5521793558666208E-2"/>
                  <c:y val="-4.50595429674927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AF9-481A-8B56-0BBF737F11A5}"/>
                </c:ext>
              </c:extLst>
            </c:dLbl>
            <c:dLbl>
              <c:idx val="8"/>
              <c:layout>
                <c:manualLayout>
                  <c:x val="-5.0073972914532916E-2"/>
                  <c:y val="4.18410041841003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AF9-481A-8B56-0BBF737F11A5}"/>
                </c:ext>
              </c:extLst>
            </c:dLbl>
            <c:dLbl>
              <c:idx val="9"/>
              <c:layout>
                <c:manualLayout>
                  <c:x val="-4.0969614202799758E-2"/>
                  <c:y val="-5.14966205342775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AF9-481A-8B56-0BBF737F11A5}"/>
                </c:ext>
              </c:extLst>
            </c:dLbl>
            <c:dLbl>
              <c:idx val="10"/>
              <c:layout>
                <c:manualLayout>
                  <c:x val="-2.7313076135199729E-2"/>
                  <c:y val="5.14966205342774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AF9-481A-8B56-0BBF737F11A5}"/>
                </c:ext>
              </c:extLst>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chemeClr val="tx1">
                        <a:lumMod val="75000"/>
                        <a:lumOff val="25000"/>
                      </a:schemeClr>
                    </a:solidFill>
                    <a:latin typeface="+mj-lt"/>
                    <a:ea typeface="+mn-ea"/>
                    <a:cs typeface="+mn-cs"/>
                  </a:defRPr>
                </a:pPr>
                <a:endParaRPr lang="el-GR"/>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'ΓΡΑΦΗΜΑ 5'!$B$6:$L$6</c:f>
              <c:numCache>
                <c:formatCode>####</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'ΓΡΑΦΗΜΑ 5'!$B$7:$L$7</c:f>
              <c:numCache>
                <c:formatCode>#,##0</c:formatCode>
                <c:ptCount val="11"/>
                <c:pt idx="0">
                  <c:v>3361</c:v>
                </c:pt>
                <c:pt idx="1">
                  <c:v>3018</c:v>
                </c:pt>
                <c:pt idx="2">
                  <c:v>2969</c:v>
                </c:pt>
                <c:pt idx="3">
                  <c:v>1950.48</c:v>
                </c:pt>
                <c:pt idx="4">
                  <c:v>1934.97</c:v>
                </c:pt>
                <c:pt idx="5">
                  <c:v>1883.64</c:v>
                </c:pt>
                <c:pt idx="6">
                  <c:v>1825.79</c:v>
                </c:pt>
                <c:pt idx="7">
                  <c:v>1977.06</c:v>
                </c:pt>
                <c:pt idx="8">
                  <c:v>1891.2</c:v>
                </c:pt>
                <c:pt idx="9">
                  <c:v>1906.62</c:v>
                </c:pt>
                <c:pt idx="10">
                  <c:v>1901</c:v>
                </c:pt>
              </c:numCache>
            </c:numRef>
          </c:val>
          <c:smooth val="0"/>
          <c:extLst>
            <c:ext xmlns:c16="http://schemas.microsoft.com/office/drawing/2014/chart" uri="{C3380CC4-5D6E-409C-BE32-E72D297353CC}">
              <c16:uniqueId val="{0000000B-1AF9-481A-8B56-0BBF737F11A5}"/>
            </c:ext>
          </c:extLst>
        </c:ser>
        <c:dLbls>
          <c:showLegendKey val="0"/>
          <c:showVal val="0"/>
          <c:showCatName val="0"/>
          <c:showSerName val="0"/>
          <c:showPercent val="0"/>
          <c:showBubbleSize val="0"/>
        </c:dLbls>
        <c:smooth val="0"/>
        <c:axId val="582050992"/>
        <c:axId val="582059152"/>
      </c:lineChart>
      <c:catAx>
        <c:axId val="582050992"/>
        <c:scaling>
          <c:orientation val="minMax"/>
        </c:scaling>
        <c:delete val="0"/>
        <c:axPos val="b"/>
        <c:numFmt formatCode="####"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chemeClr val="tx1">
                    <a:lumMod val="65000"/>
                    <a:lumOff val="35000"/>
                  </a:schemeClr>
                </a:solidFill>
                <a:latin typeface="+mj-lt"/>
                <a:ea typeface="+mn-ea"/>
                <a:cs typeface="+mn-cs"/>
              </a:defRPr>
            </a:pPr>
            <a:endParaRPr lang="el-GR"/>
          </a:p>
        </c:txPr>
        <c:crossAx val="582059152"/>
        <c:crosses val="autoZero"/>
        <c:auto val="1"/>
        <c:lblAlgn val="ctr"/>
        <c:lblOffset val="100"/>
        <c:noMultiLvlLbl val="0"/>
      </c:catAx>
      <c:valAx>
        <c:axId val="582059152"/>
        <c:scaling>
          <c:orientation val="minMax"/>
          <c:max val="3500"/>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82050992"/>
        <c:crosses val="autoZero"/>
        <c:crossBetween val="between"/>
      </c:valAx>
      <c:spPr>
        <a:noFill/>
        <a:ln>
          <a:noFill/>
        </a:ln>
        <a:effectLst/>
      </c:spPr>
    </c:plotArea>
    <c:plotVisOnly val="1"/>
    <c:dispBlanksAs val="gap"/>
    <c:showDLblsOverMax val="0"/>
    <c:extLst>
      <c:ext uri="{0b15fc19-7d7d-44ad-8c2d-2c3a37ce22c3}">
        <chartProps xmlns="https://web.wps.cn/et/2018/main" chartId="{a70bbf8c-e191-4ac3-bf5b-b608b29dfa28}"/>
      </c:ext>
    </c:extLst>
  </c:chart>
  <c:spPr>
    <a:solidFill>
      <a:schemeClr val="bg1"/>
    </a:solidFill>
    <a:ln w="9525" cap="flat" cmpd="sng" algn="ctr">
      <a:noFill/>
      <a:round/>
    </a:ln>
    <a:effectLst/>
  </c:spPr>
  <c:txPr>
    <a:bodyPr/>
    <a:lstStyle/>
    <a:p>
      <a:pPr>
        <a:defRPr lang="en-US"/>
      </a:pPr>
      <a:endParaRPr lang="el-G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tx1">
                <a:lumMod val="50000"/>
                <a:lumOff val="50000"/>
              </a:schemeClr>
            </a:solidFill>
            <a:ln>
              <a:noFill/>
            </a:ln>
            <a:effectLst/>
          </c:spPr>
          <c:invertIfNegative val="0"/>
          <c:dPt>
            <c:idx val="1"/>
            <c:invertIfNegative val="0"/>
            <c:bubble3D val="0"/>
            <c:spPr>
              <a:solidFill>
                <a:srgbClr val="FFC000"/>
              </a:solidFill>
              <a:ln>
                <a:noFill/>
              </a:ln>
              <a:effectLst/>
            </c:spPr>
            <c:extLst>
              <c:ext xmlns:c16="http://schemas.microsoft.com/office/drawing/2014/chart" uri="{C3380CC4-5D6E-409C-BE32-E72D297353CC}">
                <c16:uniqueId val="{00000001-583A-4BBD-BF80-CBB43AD7B46A}"/>
              </c:ext>
            </c:extLst>
          </c:dPt>
          <c:dPt>
            <c:idx val="14"/>
            <c:invertIfNegative val="0"/>
            <c:bubble3D val="0"/>
            <c:spPr>
              <a:solidFill>
                <a:srgbClr val="0070C0"/>
              </a:solidFill>
              <a:ln>
                <a:noFill/>
              </a:ln>
              <a:effectLst/>
            </c:spPr>
            <c:extLst>
              <c:ext xmlns:c16="http://schemas.microsoft.com/office/drawing/2014/chart" uri="{C3380CC4-5D6E-409C-BE32-E72D297353CC}">
                <c16:uniqueId val="{00000003-583A-4BBD-BF80-CBB43AD7B46A}"/>
              </c:ext>
            </c:extLst>
          </c:dPt>
          <c:dLbls>
            <c:dLbl>
              <c:idx val="1"/>
              <c:spPr>
                <a:noFill/>
                <a:ln>
                  <a:noFill/>
                </a:ln>
                <a:effectLst/>
              </c:spPr>
              <c:txPr>
                <a:bodyPr rot="0" spcFirstLastPara="1" vertOverflow="ellipsis" vert="horz" wrap="square" lIns="38100" tIns="19050" rIns="38100" bIns="19050" anchor="ctr" anchorCtr="1">
                  <a:spAutoFit/>
                </a:bodyPr>
                <a:lstStyle/>
                <a:p>
                  <a:pPr>
                    <a:defRPr lang="en-US" sz="1200" b="1" i="0" u="none" strike="noStrike" kern="1200" baseline="0">
                      <a:solidFill>
                        <a:schemeClr val="tx1">
                          <a:lumMod val="75000"/>
                          <a:lumOff val="25000"/>
                        </a:schemeClr>
                      </a:solidFill>
                      <a:latin typeface="+mj-lt"/>
                      <a:ea typeface="+mn-ea"/>
                      <a:cs typeface="+mn-cs"/>
                    </a:defRPr>
                  </a:pPr>
                  <a:endParaRPr lang="el-GR"/>
                </a:p>
              </c:txPr>
              <c:dLblPos val="outEnd"/>
              <c:showLegendKey val="0"/>
              <c:showVal val="1"/>
              <c:showCatName val="0"/>
              <c:showSerName val="0"/>
              <c:showPercent val="0"/>
              <c:showBubbleSize val="0"/>
              <c:extLst>
                <c:ext xmlns:c16="http://schemas.microsoft.com/office/drawing/2014/chart" uri="{C3380CC4-5D6E-409C-BE32-E72D297353CC}">
                  <c16:uniqueId val="{00000001-583A-4BBD-BF80-CBB43AD7B46A}"/>
                </c:ext>
              </c:extLst>
            </c:dLbl>
            <c:dLbl>
              <c:idx val="14"/>
              <c:spPr>
                <a:noFill/>
                <a:ln>
                  <a:noFill/>
                </a:ln>
                <a:effectLst/>
              </c:spPr>
              <c:txPr>
                <a:bodyPr rot="0" spcFirstLastPara="1" vertOverflow="ellipsis" vert="horz" wrap="square" lIns="38100" tIns="19050" rIns="38100" bIns="19050" anchor="ctr" anchorCtr="1">
                  <a:spAutoFit/>
                </a:bodyPr>
                <a:lstStyle/>
                <a:p>
                  <a:pPr>
                    <a:defRPr lang="en-US" sz="1200" b="1" i="0" u="none" strike="noStrike" kern="1200" baseline="0">
                      <a:solidFill>
                        <a:schemeClr val="tx1">
                          <a:lumMod val="75000"/>
                          <a:lumOff val="25000"/>
                        </a:schemeClr>
                      </a:solidFill>
                      <a:latin typeface="+mj-lt"/>
                      <a:ea typeface="+mn-ea"/>
                      <a:cs typeface="+mn-cs"/>
                    </a:defRPr>
                  </a:pPr>
                  <a:endParaRPr lang="el-GR"/>
                </a:p>
              </c:txPr>
              <c:dLblPos val="outEnd"/>
              <c:showLegendKey val="0"/>
              <c:showVal val="1"/>
              <c:showCatName val="0"/>
              <c:showSerName val="0"/>
              <c:showPercent val="0"/>
              <c:showBubbleSize val="0"/>
              <c:extLst>
                <c:ext xmlns:c16="http://schemas.microsoft.com/office/drawing/2014/chart" uri="{C3380CC4-5D6E-409C-BE32-E72D297353CC}">
                  <c16:uniqueId val="{00000003-583A-4BBD-BF80-CBB43AD7B46A}"/>
                </c:ext>
              </c:extLst>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chemeClr val="tx1">
                        <a:lumMod val="75000"/>
                        <a:lumOff val="25000"/>
                      </a:schemeClr>
                    </a:solidFill>
                    <a:latin typeface="+mj-lt"/>
                    <a:ea typeface="+mn-ea"/>
                    <a:cs typeface="+mn-cs"/>
                  </a:defRPr>
                </a:pPr>
                <a:endParaRPr lang="el-G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6'!$D$12:$D$39</c:f>
              <c:strCache>
                <c:ptCount val="28"/>
                <c:pt idx="0">
                  <c:v>κύπρος</c:v>
                </c:pt>
                <c:pt idx="1">
                  <c:v>Ελλάδα</c:v>
                </c:pt>
                <c:pt idx="2">
                  <c:v>Μάλτα</c:v>
                </c:pt>
                <c:pt idx="3">
                  <c:v>Πολωνία</c:v>
                </c:pt>
                <c:pt idx="4">
                  <c:v>Ρουμανία</c:v>
                </c:pt>
                <c:pt idx="5">
                  <c:v>Ουγγαρία</c:v>
                </c:pt>
                <c:pt idx="6">
                  <c:v>Ιταλία</c:v>
                </c:pt>
                <c:pt idx="7">
                  <c:v>Σλοβενία</c:v>
                </c:pt>
                <c:pt idx="8">
                  <c:v>Αυστρία</c:v>
                </c:pt>
                <c:pt idx="9">
                  <c:v>Ιρλανδία</c:v>
                </c:pt>
                <c:pt idx="10">
                  <c:v>Τσεχία</c:v>
                </c:pt>
                <c:pt idx="11">
                  <c:v>Ισπανία</c:v>
                </c:pt>
                <c:pt idx="12">
                  <c:v>Γαλλία</c:v>
                </c:pt>
                <c:pt idx="13">
                  <c:v>Πορτογαλία</c:v>
                </c:pt>
                <c:pt idx="14">
                  <c:v>ΕΕ (27)</c:v>
                </c:pt>
                <c:pt idx="15">
                  <c:v>Γερμανία</c:v>
                </c:pt>
                <c:pt idx="16">
                  <c:v>Σλοβακία</c:v>
                </c:pt>
                <c:pt idx="17">
                  <c:v>Λιθουανία</c:v>
                </c:pt>
                <c:pt idx="18">
                  <c:v>Λετονία</c:v>
                </c:pt>
                <c:pt idx="19">
                  <c:v>Ολλανδία</c:v>
                </c:pt>
                <c:pt idx="20">
                  <c:v>Κροατία</c:v>
                </c:pt>
                <c:pt idx="21">
                  <c:v>Σουηδία</c:v>
                </c:pt>
                <c:pt idx="22">
                  <c:v>Φιλανδία</c:v>
                </c:pt>
                <c:pt idx="23">
                  <c:v>Βουλγαρία</c:v>
                </c:pt>
                <c:pt idx="24">
                  <c:v>Βέλγιο</c:v>
                </c:pt>
                <c:pt idx="25">
                  <c:v>Εσθονία</c:v>
                </c:pt>
                <c:pt idx="26">
                  <c:v>Λουξεμβούργο</c:v>
                </c:pt>
                <c:pt idx="27">
                  <c:v>Δανία</c:v>
                </c:pt>
              </c:strCache>
            </c:strRef>
          </c:cat>
          <c:val>
            <c:numRef>
              <c:f>'ΓΡΑΦΗΜΑ 6'!$E$12:$E$39</c:f>
              <c:numCache>
                <c:formatCode>General</c:formatCode>
                <c:ptCount val="28"/>
                <c:pt idx="0">
                  <c:v>3.52</c:v>
                </c:pt>
                <c:pt idx="1">
                  <c:v>3.83</c:v>
                </c:pt>
                <c:pt idx="2">
                  <c:v>3.96</c:v>
                </c:pt>
                <c:pt idx="3">
                  <c:v>4.67</c:v>
                </c:pt>
                <c:pt idx="4">
                  <c:v>4.9400000000000004</c:v>
                </c:pt>
                <c:pt idx="5">
                  <c:v>5.0199999999999996</c:v>
                </c:pt>
                <c:pt idx="6">
                  <c:v>5.3</c:v>
                </c:pt>
                <c:pt idx="7">
                  <c:v>5.31</c:v>
                </c:pt>
                <c:pt idx="8">
                  <c:v>5.32</c:v>
                </c:pt>
                <c:pt idx="9">
                  <c:v>5.47</c:v>
                </c:pt>
                <c:pt idx="10">
                  <c:v>5.92</c:v>
                </c:pt>
                <c:pt idx="11">
                  <c:v>6.3</c:v>
                </c:pt>
                <c:pt idx="12">
                  <c:v>6.32</c:v>
                </c:pt>
                <c:pt idx="13">
                  <c:v>6.69</c:v>
                </c:pt>
                <c:pt idx="14">
                  <c:v>6.96</c:v>
                </c:pt>
                <c:pt idx="15">
                  <c:v>7.14</c:v>
                </c:pt>
                <c:pt idx="16">
                  <c:v>7.48</c:v>
                </c:pt>
                <c:pt idx="17">
                  <c:v>8.01</c:v>
                </c:pt>
                <c:pt idx="18">
                  <c:v>8.5</c:v>
                </c:pt>
                <c:pt idx="19">
                  <c:v>8.64</c:v>
                </c:pt>
                <c:pt idx="20">
                  <c:v>8.7200000000000006</c:v>
                </c:pt>
                <c:pt idx="21">
                  <c:v>8.81</c:v>
                </c:pt>
                <c:pt idx="22">
                  <c:v>8.9499999999999993</c:v>
                </c:pt>
                <c:pt idx="23">
                  <c:v>9.31</c:v>
                </c:pt>
                <c:pt idx="24">
                  <c:v>9.81</c:v>
                </c:pt>
                <c:pt idx="25">
                  <c:v>10.57</c:v>
                </c:pt>
                <c:pt idx="26">
                  <c:v>11.18</c:v>
                </c:pt>
                <c:pt idx="27">
                  <c:v>17.399999999999999</c:v>
                </c:pt>
              </c:numCache>
            </c:numRef>
          </c:val>
          <c:extLst>
            <c:ext xmlns:c16="http://schemas.microsoft.com/office/drawing/2014/chart" uri="{C3380CC4-5D6E-409C-BE32-E72D297353CC}">
              <c16:uniqueId val="{00000004-583A-4BBD-BF80-CBB43AD7B46A}"/>
            </c:ext>
          </c:extLst>
        </c:ser>
        <c:dLbls>
          <c:showLegendKey val="0"/>
          <c:showVal val="0"/>
          <c:showCatName val="0"/>
          <c:showSerName val="0"/>
          <c:showPercent val="0"/>
          <c:showBubbleSize val="0"/>
        </c:dLbls>
        <c:gapWidth val="182"/>
        <c:axId val="582056976"/>
        <c:axId val="582051536"/>
      </c:barChart>
      <c:catAx>
        <c:axId val="5820569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chemeClr val="tx1">
                    <a:lumMod val="65000"/>
                    <a:lumOff val="35000"/>
                  </a:schemeClr>
                </a:solidFill>
                <a:latin typeface="+mj-lt"/>
                <a:ea typeface="+mn-ea"/>
                <a:cs typeface="+mn-cs"/>
              </a:defRPr>
            </a:pPr>
            <a:endParaRPr lang="el-GR"/>
          </a:p>
        </c:txPr>
        <c:crossAx val="582051536"/>
        <c:crosses val="autoZero"/>
        <c:auto val="1"/>
        <c:lblAlgn val="ctr"/>
        <c:lblOffset val="100"/>
        <c:noMultiLvlLbl val="0"/>
      </c:catAx>
      <c:valAx>
        <c:axId val="582051536"/>
        <c:scaling>
          <c:orientation val="minMax"/>
        </c:scaling>
        <c:delete val="1"/>
        <c:axPos val="b"/>
        <c:numFmt formatCode="General" sourceLinked="1"/>
        <c:majorTickMark val="none"/>
        <c:minorTickMark val="none"/>
        <c:tickLblPos val="nextTo"/>
        <c:crossAx val="582056976"/>
        <c:crosses val="autoZero"/>
        <c:crossBetween val="between"/>
      </c:valAx>
      <c:spPr>
        <a:noFill/>
        <a:ln>
          <a:noFill/>
        </a:ln>
        <a:effectLst/>
      </c:spPr>
    </c:plotArea>
    <c:plotVisOnly val="1"/>
    <c:dispBlanksAs val="gap"/>
    <c:showDLblsOverMax val="0"/>
    <c:extLst>
      <c:ext uri="{0b15fc19-7d7d-44ad-8c2d-2c3a37ce22c3}">
        <chartProps xmlns="https://web.wps.cn/et/2018/main" chartId="{717b8cbf-0beb-46be-99bf-b5160b70f6ca}"/>
      </c:ext>
    </c:extLst>
  </c:chart>
  <c:spPr>
    <a:solidFill>
      <a:schemeClr val="bg1"/>
    </a:solidFill>
    <a:ln w="9525" cap="flat" cmpd="sng" algn="ctr">
      <a:noFill/>
      <a:round/>
    </a:ln>
    <a:effectLst/>
  </c:spPr>
  <c:txPr>
    <a:bodyPr/>
    <a:lstStyle/>
    <a:p>
      <a:pPr>
        <a:defRPr lang="en-US"/>
      </a:pPr>
      <a:endParaRPr lang="el-G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tx1">
                <a:lumMod val="50000"/>
                <a:lumOff val="50000"/>
              </a:schemeClr>
            </a:solidFill>
            <a:ln>
              <a:noFill/>
            </a:ln>
            <a:effectLst/>
          </c:spPr>
          <c:invertIfNegative val="0"/>
          <c:dPt>
            <c:idx val="1"/>
            <c:invertIfNegative val="0"/>
            <c:bubble3D val="0"/>
            <c:spPr>
              <a:solidFill>
                <a:srgbClr val="FFC000"/>
              </a:solidFill>
              <a:ln>
                <a:noFill/>
              </a:ln>
              <a:effectLst/>
            </c:spPr>
            <c:extLst>
              <c:ext xmlns:c16="http://schemas.microsoft.com/office/drawing/2014/chart" uri="{C3380CC4-5D6E-409C-BE32-E72D297353CC}">
                <c16:uniqueId val="{00000001-55E6-4250-B88A-E1B2B705B3E6}"/>
              </c:ext>
            </c:extLst>
          </c:dPt>
          <c:dPt>
            <c:idx val="18"/>
            <c:invertIfNegative val="0"/>
            <c:bubble3D val="0"/>
            <c:spPr>
              <a:solidFill>
                <a:srgbClr val="0070C0"/>
              </a:solidFill>
              <a:ln>
                <a:noFill/>
              </a:ln>
              <a:effectLst/>
            </c:spPr>
            <c:extLst>
              <c:ext xmlns:c16="http://schemas.microsoft.com/office/drawing/2014/chart" uri="{C3380CC4-5D6E-409C-BE32-E72D297353CC}">
                <c16:uniqueId val="{00000003-55E6-4250-B88A-E1B2B705B3E6}"/>
              </c:ext>
            </c:extLst>
          </c:dPt>
          <c:dLbls>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chemeClr val="tx1">
                        <a:lumMod val="75000"/>
                        <a:lumOff val="25000"/>
                      </a:schemeClr>
                    </a:solidFill>
                    <a:latin typeface="+mn-lt"/>
                    <a:ea typeface="+mn-ea"/>
                    <a:cs typeface="+mn-cs"/>
                  </a:defRPr>
                </a:pPr>
                <a:endParaRPr lang="el-G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7'!$D$45:$D$72</c:f>
              <c:strCache>
                <c:ptCount val="28"/>
                <c:pt idx="0">
                  <c:v>Μάλτα</c:v>
                </c:pt>
                <c:pt idx="1">
                  <c:v>Ελλάδα</c:v>
                </c:pt>
                <c:pt idx="2">
                  <c:v>Ρουμανία</c:v>
                </c:pt>
                <c:pt idx="3">
                  <c:v>Κύπρος</c:v>
                </c:pt>
                <c:pt idx="4">
                  <c:v>Ουγγαρία</c:v>
                </c:pt>
                <c:pt idx="5">
                  <c:v>Πολωνία</c:v>
                </c:pt>
                <c:pt idx="6">
                  <c:v>Σλοβακία</c:v>
                </c:pt>
                <c:pt idx="7">
                  <c:v>Τσεχία</c:v>
                </c:pt>
                <c:pt idx="8">
                  <c:v>Σλοβενία</c:v>
                </c:pt>
                <c:pt idx="9">
                  <c:v>Λετονία</c:v>
                </c:pt>
                <c:pt idx="10">
                  <c:v>Βουλγαρία</c:v>
                </c:pt>
                <c:pt idx="11">
                  <c:v>Λιθουανία</c:v>
                </c:pt>
                <c:pt idx="12">
                  <c:v>Ιρλανδία</c:v>
                </c:pt>
                <c:pt idx="13">
                  <c:v>Πορτογαλία</c:v>
                </c:pt>
                <c:pt idx="14">
                  <c:v>Κροατία</c:v>
                </c:pt>
                <c:pt idx="15">
                  <c:v>Εσθονία</c:v>
                </c:pt>
                <c:pt idx="16">
                  <c:v>Ισπανία</c:v>
                </c:pt>
                <c:pt idx="17">
                  <c:v>Ιταλία</c:v>
                </c:pt>
                <c:pt idx="18">
                  <c:v>ΕΕ (27)</c:v>
                </c:pt>
                <c:pt idx="19">
                  <c:v>Αυστρία</c:v>
                </c:pt>
                <c:pt idx="20">
                  <c:v>Γαλλία</c:v>
                </c:pt>
                <c:pt idx="21">
                  <c:v>Γερμανία</c:v>
                </c:pt>
                <c:pt idx="22">
                  <c:v>Σουηδία</c:v>
                </c:pt>
                <c:pt idx="23">
                  <c:v>Φινλανδία</c:v>
                </c:pt>
                <c:pt idx="24">
                  <c:v>Ολλανδία</c:v>
                </c:pt>
                <c:pt idx="25">
                  <c:v>Βέλγιο</c:v>
                </c:pt>
                <c:pt idx="26">
                  <c:v>Λουξεμβούργο</c:v>
                </c:pt>
                <c:pt idx="27">
                  <c:v>Δανία</c:v>
                </c:pt>
              </c:strCache>
            </c:strRef>
          </c:cat>
          <c:val>
            <c:numRef>
              <c:f>'ΓΡΑΦΗΜΑ 7'!$E$45:$E$72</c:f>
              <c:numCache>
                <c:formatCode>#,##0.##########</c:formatCode>
                <c:ptCount val="28"/>
                <c:pt idx="0">
                  <c:v>209.3</c:v>
                </c:pt>
                <c:pt idx="1">
                  <c:v>215.81</c:v>
                </c:pt>
                <c:pt idx="2">
                  <c:v>222.77</c:v>
                </c:pt>
                <c:pt idx="3">
                  <c:v>223.21</c:v>
                </c:pt>
                <c:pt idx="4">
                  <c:v>233.55</c:v>
                </c:pt>
                <c:pt idx="5">
                  <c:v>292.31</c:v>
                </c:pt>
                <c:pt idx="6">
                  <c:v>339.17</c:v>
                </c:pt>
                <c:pt idx="7">
                  <c:v>373.16</c:v>
                </c:pt>
                <c:pt idx="8">
                  <c:v>389.89</c:v>
                </c:pt>
                <c:pt idx="9">
                  <c:v>396.53</c:v>
                </c:pt>
                <c:pt idx="10">
                  <c:v>411.57</c:v>
                </c:pt>
                <c:pt idx="11">
                  <c:v>415.85</c:v>
                </c:pt>
                <c:pt idx="12">
                  <c:v>421.69</c:v>
                </c:pt>
                <c:pt idx="13">
                  <c:v>432.61</c:v>
                </c:pt>
                <c:pt idx="14">
                  <c:v>458.52</c:v>
                </c:pt>
                <c:pt idx="15">
                  <c:v>467.31</c:v>
                </c:pt>
                <c:pt idx="16">
                  <c:v>492.28</c:v>
                </c:pt>
                <c:pt idx="17">
                  <c:v>515.15</c:v>
                </c:pt>
                <c:pt idx="18">
                  <c:v>672.44</c:v>
                </c:pt>
                <c:pt idx="19">
                  <c:v>678.76</c:v>
                </c:pt>
                <c:pt idx="20">
                  <c:v>718.75</c:v>
                </c:pt>
                <c:pt idx="21">
                  <c:v>896.48</c:v>
                </c:pt>
                <c:pt idx="22">
                  <c:v>950.44</c:v>
                </c:pt>
                <c:pt idx="23">
                  <c:v>983.7</c:v>
                </c:pt>
                <c:pt idx="24">
                  <c:v>1030.28</c:v>
                </c:pt>
                <c:pt idx="25">
                  <c:v>1075.6600000000001</c:v>
                </c:pt>
                <c:pt idx="26">
                  <c:v>1873.62</c:v>
                </c:pt>
                <c:pt idx="27">
                  <c:v>2062.6</c:v>
                </c:pt>
              </c:numCache>
            </c:numRef>
          </c:val>
          <c:extLst>
            <c:ext xmlns:c16="http://schemas.microsoft.com/office/drawing/2014/chart" uri="{C3380CC4-5D6E-409C-BE32-E72D297353CC}">
              <c16:uniqueId val="{00000004-55E6-4250-B88A-E1B2B705B3E6}"/>
            </c:ext>
          </c:extLst>
        </c:ser>
        <c:dLbls>
          <c:showLegendKey val="0"/>
          <c:showVal val="0"/>
          <c:showCatName val="0"/>
          <c:showSerName val="0"/>
          <c:showPercent val="0"/>
          <c:showBubbleSize val="0"/>
        </c:dLbls>
        <c:gapWidth val="182"/>
        <c:axId val="582047184"/>
        <c:axId val="582045008"/>
      </c:barChart>
      <c:catAx>
        <c:axId val="5820471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chemeClr val="tx1">
                    <a:lumMod val="65000"/>
                    <a:lumOff val="35000"/>
                  </a:schemeClr>
                </a:solidFill>
                <a:latin typeface="+mn-lt"/>
                <a:ea typeface="+mn-ea"/>
                <a:cs typeface="+mn-cs"/>
              </a:defRPr>
            </a:pPr>
            <a:endParaRPr lang="el-GR"/>
          </a:p>
        </c:txPr>
        <c:crossAx val="582045008"/>
        <c:crosses val="autoZero"/>
        <c:auto val="1"/>
        <c:lblAlgn val="ctr"/>
        <c:lblOffset val="100"/>
        <c:noMultiLvlLbl val="0"/>
      </c:catAx>
      <c:valAx>
        <c:axId val="582045008"/>
        <c:scaling>
          <c:orientation val="minMax"/>
        </c:scaling>
        <c:delete val="1"/>
        <c:axPos val="b"/>
        <c:numFmt formatCode="#,##0.##########" sourceLinked="1"/>
        <c:majorTickMark val="none"/>
        <c:minorTickMark val="none"/>
        <c:tickLblPos val="nextTo"/>
        <c:crossAx val="582047184"/>
        <c:crosses val="autoZero"/>
        <c:crossBetween val="between"/>
      </c:valAx>
      <c:spPr>
        <a:noFill/>
        <a:ln>
          <a:noFill/>
        </a:ln>
        <a:effectLst/>
      </c:spPr>
    </c:plotArea>
    <c:plotVisOnly val="1"/>
    <c:dispBlanksAs val="gap"/>
    <c:showDLblsOverMax val="0"/>
    <c:extLst>
      <c:ext uri="{0b15fc19-7d7d-44ad-8c2d-2c3a37ce22c3}">
        <chartProps xmlns="https://web.wps.cn/et/2018/main" chartId="{bb62dbad-f0e5-4c7e-ba1d-3454d253b4b5}"/>
      </c:ext>
    </c:extLst>
  </c:chart>
  <c:spPr>
    <a:solidFill>
      <a:schemeClr val="bg1"/>
    </a:solidFill>
    <a:ln w="9525" cap="flat" cmpd="sng" algn="ctr">
      <a:noFill/>
      <a:round/>
    </a:ln>
    <a:effectLst/>
  </c:spPr>
  <c:txPr>
    <a:bodyPr/>
    <a:lstStyle/>
    <a:p>
      <a:pPr>
        <a:defRPr lang="en-US"/>
      </a:pPr>
      <a:endParaRPr lang="el-G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chemeClr val="tx1">
                        <a:lumMod val="75000"/>
                        <a:lumOff val="25000"/>
                      </a:schemeClr>
                    </a:solidFill>
                    <a:latin typeface="+mn-lt"/>
                    <a:ea typeface="+mn-ea"/>
                    <a:cs typeface="+mn-cs"/>
                  </a:defRPr>
                </a:pPr>
                <a:endParaRPr lang="el-G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8'!$B$12:$K$12</c:f>
              <c:strCache>
                <c:ptCount val="10"/>
                <c:pt idx="0">
                  <c:v>2013</c:v>
                </c:pt>
                <c:pt idx="1">
                  <c:v>2014</c:v>
                </c:pt>
                <c:pt idx="2">
                  <c:v>2015</c:v>
                </c:pt>
                <c:pt idx="3">
                  <c:v>2016</c:v>
                </c:pt>
                <c:pt idx="4">
                  <c:v>2017</c:v>
                </c:pt>
                <c:pt idx="5">
                  <c:v>2018</c:v>
                </c:pt>
                <c:pt idx="6">
                  <c:v>2019</c:v>
                </c:pt>
                <c:pt idx="7">
                  <c:v>2020</c:v>
                </c:pt>
                <c:pt idx="8">
                  <c:v>2021</c:v>
                </c:pt>
                <c:pt idx="9">
                  <c:v>2022</c:v>
                </c:pt>
              </c:strCache>
            </c:strRef>
          </c:cat>
          <c:val>
            <c:numRef>
              <c:f>'ΓΡΑΦΗΜΑ 8'!$B$13:$K$13</c:f>
              <c:numCache>
                <c:formatCode>#,##0</c:formatCode>
                <c:ptCount val="10"/>
                <c:pt idx="0">
                  <c:v>114376</c:v>
                </c:pt>
                <c:pt idx="1">
                  <c:v>127279</c:v>
                </c:pt>
                <c:pt idx="2">
                  <c:v>132562</c:v>
                </c:pt>
                <c:pt idx="3">
                  <c:v>126797</c:v>
                </c:pt>
                <c:pt idx="4">
                  <c:v>122178</c:v>
                </c:pt>
                <c:pt idx="5">
                  <c:v>121612</c:v>
                </c:pt>
                <c:pt idx="6">
                  <c:v>117576</c:v>
                </c:pt>
                <c:pt idx="7">
                  <c:v>113064</c:v>
                </c:pt>
                <c:pt idx="8">
                  <c:v>108173</c:v>
                </c:pt>
                <c:pt idx="9">
                  <c:v>105692</c:v>
                </c:pt>
              </c:numCache>
            </c:numRef>
          </c:val>
          <c:extLst>
            <c:ext xmlns:c16="http://schemas.microsoft.com/office/drawing/2014/chart" uri="{C3380CC4-5D6E-409C-BE32-E72D297353CC}">
              <c16:uniqueId val="{00000000-ECE0-4D9D-9AB8-67B68E575822}"/>
            </c:ext>
          </c:extLst>
        </c:ser>
        <c:dLbls>
          <c:showLegendKey val="0"/>
          <c:showVal val="0"/>
          <c:showCatName val="0"/>
          <c:showSerName val="0"/>
          <c:showPercent val="0"/>
          <c:showBubbleSize val="0"/>
        </c:dLbls>
        <c:gapWidth val="219"/>
        <c:overlap val="-27"/>
        <c:axId val="582046640"/>
        <c:axId val="582052080"/>
      </c:barChart>
      <c:catAx>
        <c:axId val="582046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chemeClr val="tx1">
                    <a:lumMod val="65000"/>
                    <a:lumOff val="35000"/>
                  </a:schemeClr>
                </a:solidFill>
                <a:latin typeface="+mn-lt"/>
                <a:ea typeface="+mn-ea"/>
                <a:cs typeface="+mn-cs"/>
              </a:defRPr>
            </a:pPr>
            <a:endParaRPr lang="el-GR"/>
          </a:p>
        </c:txPr>
        <c:crossAx val="582052080"/>
        <c:crosses val="autoZero"/>
        <c:auto val="1"/>
        <c:lblAlgn val="ctr"/>
        <c:lblOffset val="100"/>
        <c:noMultiLvlLbl val="0"/>
      </c:catAx>
      <c:valAx>
        <c:axId val="582052080"/>
        <c:scaling>
          <c:orientation val="minMax"/>
        </c:scaling>
        <c:delete val="1"/>
        <c:axPos val="l"/>
        <c:numFmt formatCode="#,##0" sourceLinked="1"/>
        <c:majorTickMark val="none"/>
        <c:minorTickMark val="none"/>
        <c:tickLblPos val="nextTo"/>
        <c:crossAx val="582046640"/>
        <c:crosses val="autoZero"/>
        <c:crossBetween val="between"/>
      </c:valAx>
      <c:spPr>
        <a:noFill/>
        <a:ln>
          <a:noFill/>
        </a:ln>
        <a:effectLst/>
      </c:spPr>
    </c:plotArea>
    <c:plotVisOnly val="1"/>
    <c:dispBlanksAs val="gap"/>
    <c:showDLblsOverMax val="0"/>
    <c:extLst>
      <c:ext uri="{0b15fc19-7d7d-44ad-8c2d-2c3a37ce22c3}">
        <chartProps xmlns="https://web.wps.cn/et/2018/main" chartId="{ea6cd7f7-2a1e-4176-a0aa-266e5c01239c}"/>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l-G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bg1">
                <a:lumMod val="50000"/>
              </a:schemeClr>
            </a:solidFill>
            <a:ln>
              <a:noFill/>
            </a:ln>
            <a:effectLst/>
          </c:spPr>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1-5390-4DCA-B099-8A3AC0A39670}"/>
              </c:ext>
            </c:extLst>
          </c:dPt>
          <c:dPt>
            <c:idx val="12"/>
            <c:invertIfNegative val="0"/>
            <c:bubble3D val="0"/>
            <c:spPr>
              <a:solidFill>
                <a:srgbClr val="0070C0"/>
              </a:solidFill>
              <a:ln>
                <a:noFill/>
              </a:ln>
              <a:effectLst/>
            </c:spPr>
            <c:extLst>
              <c:ext xmlns:c16="http://schemas.microsoft.com/office/drawing/2014/chart" uri="{C3380CC4-5D6E-409C-BE32-E72D297353CC}">
                <c16:uniqueId val="{00000003-5390-4DCA-B099-8A3AC0A39670}"/>
              </c:ext>
            </c:extLst>
          </c:dPt>
          <c:dLbls>
            <c:dLbl>
              <c:idx val="0"/>
              <c:spPr>
                <a:noFill/>
                <a:ln>
                  <a:noFill/>
                </a:ln>
                <a:effectLst/>
              </c:spPr>
              <c:txPr>
                <a:bodyPr rot="0" spcFirstLastPara="1" vertOverflow="ellipsis" vert="horz" wrap="square" lIns="38100" tIns="19050" rIns="38100" bIns="19050" anchor="ctr" anchorCtr="1">
                  <a:spAutoFit/>
                </a:bodyPr>
                <a:lstStyle/>
                <a:p>
                  <a:pPr>
                    <a:defRPr lang="en-US" sz="1200" b="1" i="0" u="none" strike="noStrike" kern="1200" baseline="0">
                      <a:solidFill>
                        <a:schemeClr val="tx1">
                          <a:lumMod val="75000"/>
                          <a:lumOff val="25000"/>
                        </a:schemeClr>
                      </a:solidFill>
                      <a:latin typeface="+mn-lt"/>
                      <a:ea typeface="+mn-ea"/>
                      <a:cs typeface="+mn-cs"/>
                    </a:defRPr>
                  </a:pPr>
                  <a:endParaRPr lang="el-GR"/>
                </a:p>
              </c:txPr>
              <c:dLblPos val="outEnd"/>
              <c:showLegendKey val="0"/>
              <c:showVal val="1"/>
              <c:showCatName val="0"/>
              <c:showSerName val="0"/>
              <c:showPercent val="0"/>
              <c:showBubbleSize val="0"/>
              <c:extLst>
                <c:ext xmlns:c16="http://schemas.microsoft.com/office/drawing/2014/chart" uri="{C3380CC4-5D6E-409C-BE32-E72D297353CC}">
                  <c16:uniqueId val="{00000001-5390-4DCA-B099-8A3AC0A39670}"/>
                </c:ext>
              </c:extLst>
            </c:dLbl>
            <c:dLbl>
              <c:idx val="12"/>
              <c:spPr>
                <a:noFill/>
                <a:ln>
                  <a:noFill/>
                </a:ln>
                <a:effectLst/>
              </c:spPr>
              <c:txPr>
                <a:bodyPr rot="0" spcFirstLastPara="1" vertOverflow="ellipsis" vert="horz" wrap="square" lIns="38100" tIns="19050" rIns="38100" bIns="19050" anchor="ctr" anchorCtr="1">
                  <a:spAutoFit/>
                </a:bodyPr>
                <a:lstStyle/>
                <a:p>
                  <a:pPr>
                    <a:defRPr lang="en-US" sz="1200" b="1" i="0" u="none" strike="noStrike" kern="1200" baseline="0">
                      <a:solidFill>
                        <a:schemeClr val="tx1">
                          <a:lumMod val="75000"/>
                          <a:lumOff val="25000"/>
                        </a:schemeClr>
                      </a:solidFill>
                      <a:latin typeface="+mn-lt"/>
                      <a:ea typeface="+mn-ea"/>
                      <a:cs typeface="+mn-cs"/>
                    </a:defRPr>
                  </a:pPr>
                  <a:endParaRPr lang="el-GR"/>
                </a:p>
              </c:txPr>
              <c:dLblPos val="outEnd"/>
              <c:showLegendKey val="0"/>
              <c:showVal val="1"/>
              <c:showCatName val="0"/>
              <c:showSerName val="0"/>
              <c:showPercent val="0"/>
              <c:showBubbleSize val="0"/>
              <c:extLst>
                <c:ext xmlns:c16="http://schemas.microsoft.com/office/drawing/2014/chart" uri="{C3380CC4-5D6E-409C-BE32-E72D297353CC}">
                  <c16:uniqueId val="{00000003-5390-4DCA-B099-8A3AC0A39670}"/>
                </c:ext>
              </c:extLst>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chemeClr val="tx1">
                        <a:lumMod val="75000"/>
                        <a:lumOff val="25000"/>
                      </a:schemeClr>
                    </a:solidFill>
                    <a:latin typeface="+mn-lt"/>
                    <a:ea typeface="+mn-ea"/>
                    <a:cs typeface="+mn-cs"/>
                  </a:defRPr>
                </a:pPr>
                <a:endParaRPr lang="el-G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Φύλλο1!$B$3:$B$30</c:f>
              <c:strCache>
                <c:ptCount val="28"/>
                <c:pt idx="0">
                  <c:v>Ελλάδα</c:v>
                </c:pt>
                <c:pt idx="1">
                  <c:v>Ισπανία</c:v>
                </c:pt>
                <c:pt idx="2">
                  <c:v>Μάλτα</c:v>
                </c:pt>
                <c:pt idx="3">
                  <c:v>Γερμανία</c:v>
                </c:pt>
                <c:pt idx="4">
                  <c:v>Δανία</c:v>
                </c:pt>
                <c:pt idx="5">
                  <c:v>Ολλανδία</c:v>
                </c:pt>
                <c:pt idx="6">
                  <c:v>Λετονία</c:v>
                </c:pt>
                <c:pt idx="7">
                  <c:v>Φινλανδία</c:v>
                </c:pt>
                <c:pt idx="8">
                  <c:v>Ρουμανία</c:v>
                </c:pt>
                <c:pt idx="9">
                  <c:v>Ιταλία</c:v>
                </c:pt>
                <c:pt idx="10">
                  <c:v>Λιθουανία</c:v>
                </c:pt>
                <c:pt idx="11">
                  <c:v>Πορτογαλία</c:v>
                </c:pt>
                <c:pt idx="12">
                  <c:v>ΕΕ- 27</c:v>
                </c:pt>
                <c:pt idx="13">
                  <c:v>Εσθονία</c:v>
                </c:pt>
                <c:pt idx="14">
                  <c:v>Σουηδία</c:v>
                </c:pt>
                <c:pt idx="15">
                  <c:v>Ουγγαρία</c:v>
                </c:pt>
                <c:pt idx="16">
                  <c:v>Βουλγαρία</c:v>
                </c:pt>
                <c:pt idx="17">
                  <c:v>Γαλλία</c:v>
                </c:pt>
                <c:pt idx="18">
                  <c:v>Κύπρος</c:v>
                </c:pt>
                <c:pt idx="19">
                  <c:v>Ιρλανδία</c:v>
                </c:pt>
                <c:pt idx="20">
                  <c:v>Λουξεμβούργο</c:v>
                </c:pt>
                <c:pt idx="21">
                  <c:v>Βέλγιο</c:v>
                </c:pt>
                <c:pt idx="22">
                  <c:v>Κροατία</c:v>
                </c:pt>
                <c:pt idx="23">
                  <c:v>Τσεχία</c:v>
                </c:pt>
                <c:pt idx="24">
                  <c:v>Αυστρία</c:v>
                </c:pt>
                <c:pt idx="25">
                  <c:v>Πολωνία</c:v>
                </c:pt>
                <c:pt idx="26">
                  <c:v>Σλοβενία</c:v>
                </c:pt>
                <c:pt idx="27">
                  <c:v>Σλοβακία</c:v>
                </c:pt>
              </c:strCache>
            </c:strRef>
          </c:cat>
          <c:val>
            <c:numRef>
              <c:f>Φύλλο1!$C$3:$C$30</c:f>
              <c:numCache>
                <c:formatCode>#,##0.00</c:formatCode>
                <c:ptCount val="28"/>
                <c:pt idx="0">
                  <c:v>5.3</c:v>
                </c:pt>
                <c:pt idx="1">
                  <c:v>6.8</c:v>
                </c:pt>
                <c:pt idx="2">
                  <c:v>6.9000000000000101</c:v>
                </c:pt>
                <c:pt idx="3">
                  <c:v>7.9</c:v>
                </c:pt>
                <c:pt idx="4">
                  <c:v>8.3000000000000007</c:v>
                </c:pt>
                <c:pt idx="5">
                  <c:v>8.6</c:v>
                </c:pt>
                <c:pt idx="6">
                  <c:v>10.3</c:v>
                </c:pt>
                <c:pt idx="7">
                  <c:v>10.9</c:v>
                </c:pt>
                <c:pt idx="8">
                  <c:v>11.1</c:v>
                </c:pt>
                <c:pt idx="9">
                  <c:v>11.3</c:v>
                </c:pt>
                <c:pt idx="10">
                  <c:v>11.4</c:v>
                </c:pt>
                <c:pt idx="11">
                  <c:v>12.1</c:v>
                </c:pt>
                <c:pt idx="12">
                  <c:v>12.4</c:v>
                </c:pt>
                <c:pt idx="13">
                  <c:v>12.6</c:v>
                </c:pt>
                <c:pt idx="14">
                  <c:v>12.8</c:v>
                </c:pt>
                <c:pt idx="15">
                  <c:v>13.7</c:v>
                </c:pt>
                <c:pt idx="16">
                  <c:v>14.1</c:v>
                </c:pt>
                <c:pt idx="17">
                  <c:v>14.2</c:v>
                </c:pt>
                <c:pt idx="18">
                  <c:v>16.399999999999999</c:v>
                </c:pt>
                <c:pt idx="19">
                  <c:v>16.7</c:v>
                </c:pt>
                <c:pt idx="20">
                  <c:v>16.8</c:v>
                </c:pt>
                <c:pt idx="21">
                  <c:v>17.399999999999999</c:v>
                </c:pt>
                <c:pt idx="22">
                  <c:v>17.600000000000001</c:v>
                </c:pt>
                <c:pt idx="23">
                  <c:v>19.8</c:v>
                </c:pt>
                <c:pt idx="24">
                  <c:v>22.1</c:v>
                </c:pt>
                <c:pt idx="25">
                  <c:v>23.2</c:v>
                </c:pt>
                <c:pt idx="26">
                  <c:v>24.2</c:v>
                </c:pt>
                <c:pt idx="27">
                  <c:v>30.1</c:v>
                </c:pt>
              </c:numCache>
            </c:numRef>
          </c:val>
          <c:extLst>
            <c:ext xmlns:c16="http://schemas.microsoft.com/office/drawing/2014/chart" uri="{C3380CC4-5D6E-409C-BE32-E72D297353CC}">
              <c16:uniqueId val="{00000004-5390-4DCA-B099-8A3AC0A39670}"/>
            </c:ext>
          </c:extLst>
        </c:ser>
        <c:dLbls>
          <c:showLegendKey val="0"/>
          <c:showVal val="1"/>
          <c:showCatName val="0"/>
          <c:showSerName val="0"/>
          <c:showPercent val="0"/>
          <c:showBubbleSize val="0"/>
        </c:dLbls>
        <c:gapWidth val="219"/>
        <c:axId val="582054256"/>
        <c:axId val="582054800"/>
      </c:barChart>
      <c:catAx>
        <c:axId val="5820542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chemeClr val="tx1">
                    <a:lumMod val="65000"/>
                    <a:lumOff val="35000"/>
                  </a:schemeClr>
                </a:solidFill>
                <a:latin typeface="+mn-lt"/>
                <a:ea typeface="+mn-ea"/>
                <a:cs typeface="+mn-cs"/>
              </a:defRPr>
            </a:pPr>
            <a:endParaRPr lang="el-GR"/>
          </a:p>
        </c:txPr>
        <c:crossAx val="582054800"/>
        <c:crosses val="autoZero"/>
        <c:auto val="1"/>
        <c:lblAlgn val="ctr"/>
        <c:lblOffset val="100"/>
        <c:noMultiLvlLbl val="0"/>
      </c:catAx>
      <c:valAx>
        <c:axId val="582054800"/>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82054256"/>
        <c:crosses val="autoZero"/>
        <c:crossBetween val="between"/>
      </c:valAx>
      <c:spPr>
        <a:noFill/>
        <a:ln>
          <a:noFill/>
        </a:ln>
        <a:effectLst/>
      </c:spPr>
    </c:plotArea>
    <c:plotVisOnly val="1"/>
    <c:dispBlanksAs val="gap"/>
    <c:showDLblsOverMax val="0"/>
    <c:extLst>
      <c:ext uri="{0b15fc19-7d7d-44ad-8c2d-2c3a37ce22c3}">
        <chartProps xmlns="https://web.wps.cn/et/2018/main" chartId="{3fbf95b7-4835-4452-9a12-71828ca235f1}"/>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l-G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Θέμα του Office">
  <a:themeElements>
    <a:clrScheme name="Μπλε ΙΙ">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9D86E-E0D1-4474-914C-9957532BF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23</Pages>
  <Words>4797</Words>
  <Characters>27344</Characters>
  <Application>Microsoft Office Word</Application>
  <DocSecurity>0</DocSecurity>
  <Lines>227</Lines>
  <Paragraphs>64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ΔΕΛΤΙΟ ΣΤΑΤΙΣΤΙΚΗΣ ΠΛΗΡΟΦΟΡΗΣΗΣ (2025, 1ο ΔΕΛΤΙΟ)</vt:lpstr>
      <vt:lpstr>ΔΕΛΤΙΟ ΣΤΑΤΙΣΤΙΚΗΣ ΠΛΗΡΟΦΟΡΗΣΗΣ (2024, 3ο ΔΕΛΤΙΟ)</vt:lpstr>
    </vt:vector>
  </TitlesOfParts>
  <Manager>Παρατηρητήριο Θεμάτων Αναπηρίας</Manager>
  <Company>Εθνική Συνομοσπονδία Ατόμων με Αναπηρία (Ε.Σ.Α.μεΑ.)</Company>
  <LinksUpToDate>false</LinksUpToDate>
  <CharactersWithSpaces>32077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ΔΕΛΤΙΟ ΣΤΑΤΙΣΤΙΚΗΣ ΠΛΗΡΟΦΟΡΗΣΗΣ (2025, 1ο ΔΕΛΤΙΟ)</dc:title>
  <dc:subject>Δαπάνες Κοινωνικής Προστασίας και Προστασία της Αναπηρίας</dc:subject>
  <dc:creator>Φανή Προβή</dc:creator>
  <dc:description>Επιμέλεια προσβασιμότητας εγγράφου: Αλέξανδρος Μουρούζης._x000d_
Το παρόν αρχείο ελέγχθηκε με το εργαλείο Microsoft Accessibility Checker και δεν βρέθηκαν θέματα προσβασιμότητας. Τα άτομα με αναπηρία δεν θα αντιμετωπίζουν δυσκολίες στην ανάγνωσή του.</dc:description>
  <cp:lastModifiedBy>ΑΜ</cp:lastModifiedBy>
  <cp:revision>16</cp:revision>
  <dcterms:created xsi:type="dcterms:W3CDTF">2026-01-23T10:35:00Z</dcterms:created>
  <dcterms:modified xsi:type="dcterms:W3CDTF">2026-02-20T14:00:00Z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